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wmf" ContentType="image/x-wmf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ind w:left="14" w:hanging="0"/>
        <w:contextualSpacing/>
        <w:jc w:val="center"/>
        <w:rPr/>
      </w:pPr>
      <w:r>
        <w:rPr>
          <w:rFonts w:cs="Arial" w:ascii="Times New Roman" w:hAnsi="Times New Roman"/>
          <w:b/>
          <w:sz w:val="24"/>
          <w:szCs w:val="24"/>
        </w:rPr>
        <w:t>Estudo Técnico Preliminar</w:t>
      </w:r>
    </w:p>
    <w:p>
      <w:pPr>
        <w:pStyle w:val="Normal"/>
        <w:spacing w:lineRule="auto" w:line="240" w:before="0" w:after="0"/>
        <w:ind w:left="14" w:hanging="0"/>
        <w:contextualSpacing/>
        <w:jc w:val="center"/>
        <w:rPr>
          <w:rFonts w:ascii="Times New Roman" w:hAnsi="Times New Roman" w:cs="Arial"/>
          <w:b/>
          <w:b/>
          <w:sz w:val="24"/>
          <w:szCs w:val="24"/>
        </w:rPr>
      </w:pPr>
      <w:r>
        <w:rPr>
          <w:rFonts w:cs="Arial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ind w:left="-5" w:hanging="10"/>
        <w:contextualSpacing/>
        <w:jc w:val="both"/>
        <w:rPr/>
      </w:pPr>
      <w:r>
        <w:rPr>
          <w:rFonts w:cs="Arial" w:ascii="Times New Roman" w:hAnsi="Times New Roman"/>
          <w:b/>
          <w:sz w:val="24"/>
          <w:szCs w:val="24"/>
        </w:rPr>
        <w:t>1. Informações Básicas</w:t>
      </w:r>
    </w:p>
    <w:p>
      <w:pPr>
        <w:pStyle w:val="Normal"/>
        <w:spacing w:lineRule="auto" w:line="240" w:before="0" w:after="0"/>
        <w:ind w:left="-5" w:hanging="10"/>
        <w:contextualSpacing/>
        <w:jc w:val="both"/>
        <w:rPr>
          <w:rFonts w:ascii="Times New Roman" w:hAnsi="Times New Roman" w:eastAsia="Arial" w:cs="Arial"/>
          <w:color w:val="000000"/>
          <w:sz w:val="24"/>
          <w:szCs w:val="24"/>
          <w:u w:val="none"/>
        </w:rPr>
      </w:pPr>
      <w:r>
        <w:rPr>
          <w:rFonts w:eastAsia="Arial" w:cs="Arial" w:ascii="Times New Roman" w:hAnsi="Times New Roman"/>
          <w:color w:val="000000"/>
          <w:sz w:val="24"/>
          <w:szCs w:val="24"/>
          <w:u w:val="none"/>
        </w:rPr>
      </w:r>
    </w:p>
    <w:p>
      <w:pPr>
        <w:pStyle w:val="Normal"/>
        <w:spacing w:lineRule="auto" w:line="240" w:before="0" w:after="0"/>
        <w:ind w:left="-5" w:hanging="10"/>
        <w:contextualSpacing/>
        <w:jc w:val="both"/>
        <w:rPr>
          <w:b w:val="false"/>
          <w:b w:val="false"/>
          <w:bCs w:val="false"/>
          <w:shd w:fill="auto" w:val="clear"/>
        </w:rPr>
      </w:pPr>
      <w:r>
        <w:rPr>
          <w:rFonts w:eastAsia="Arial" w:cs="Arial" w:ascii="Times New Roman" w:hAnsi="Times New Roman"/>
          <w:b w:val="false"/>
          <w:bCs w:val="false"/>
          <w:color w:val="000000"/>
          <w:sz w:val="24"/>
          <w:szCs w:val="24"/>
          <w:u w:val="none"/>
          <w:shd w:fill="auto" w:val="clear"/>
        </w:rPr>
        <w:t>P</w:t>
      </w:r>
      <w:r>
        <w:rPr>
          <w:rFonts w:eastAsia="Arial" w:ascii="Times New Roman" w:hAnsi="Times New Roman"/>
          <w:b w:val="false"/>
          <w:bCs w:val="false"/>
          <w:color w:val="000000"/>
          <w:u w:val="none"/>
          <w:shd w:fill="auto" w:val="clear"/>
        </w:rPr>
        <w:t>REGÃO ELETRÔNICO Nº 08/2023 – SRP – UG 160247</w:t>
      </w:r>
    </w:p>
    <w:p>
      <w:pPr>
        <w:pStyle w:val="Normal"/>
        <w:spacing w:lineRule="auto" w:line="240" w:before="0" w:after="0"/>
        <w:ind w:left="-5" w:hanging="10"/>
        <w:contextualSpacing/>
        <w:jc w:val="both"/>
        <w:rPr>
          <w:b w:val="false"/>
          <w:b w:val="false"/>
          <w:bCs w:val="false"/>
          <w:shd w:fill="auto" w:val="clear"/>
        </w:rPr>
      </w:pPr>
      <w:r>
        <w:rPr>
          <w:rFonts w:eastAsia="Arial" w:ascii="Times New Roman" w:hAnsi="Times New Roman"/>
          <w:b w:val="false"/>
          <w:bCs w:val="false"/>
          <w:color w:val="000000"/>
          <w:u w:val="none"/>
          <w:shd w:fill="auto" w:val="clear"/>
        </w:rPr>
        <w:t>Processo Administrativo n° 64098.002263/2023-07</w:t>
      </w:r>
    </w:p>
    <w:p>
      <w:pPr>
        <w:pStyle w:val="Normal"/>
        <w:spacing w:lineRule="auto" w:line="240" w:before="0" w:after="0"/>
        <w:ind w:left="-5" w:hanging="10"/>
        <w:contextualSpacing/>
        <w:jc w:val="both"/>
        <w:rPr>
          <w:rFonts w:ascii="Times New Roman" w:hAnsi="Times New Roman" w:cs="Arial"/>
          <w:sz w:val="24"/>
          <w:szCs w:val="24"/>
          <w:shd w:fill="FFFF00" w:val="clear"/>
        </w:rPr>
      </w:pPr>
      <w:r>
        <w:rPr>
          <w:rFonts w:cs="Arial" w:ascii="Times New Roman" w:hAnsi="Times New Roman"/>
          <w:sz w:val="24"/>
          <w:szCs w:val="24"/>
          <w:shd w:fill="FFFF00" w:val="clear"/>
        </w:rPr>
      </w:r>
    </w:p>
    <w:p>
      <w:pPr>
        <w:pStyle w:val="Normal"/>
        <w:spacing w:lineRule="auto" w:line="240" w:before="0" w:after="0"/>
        <w:ind w:left="-5" w:hanging="10"/>
        <w:contextualSpacing/>
        <w:jc w:val="both"/>
        <w:rPr>
          <w:rFonts w:ascii="Times New Roman" w:hAnsi="Times New Roman" w:cs="Arial"/>
          <w:sz w:val="24"/>
          <w:szCs w:val="24"/>
          <w:shd w:fill="FFFF00" w:val="clear"/>
        </w:rPr>
      </w:pPr>
      <w:r>
        <w:rPr>
          <w:rFonts w:cs="Arial" w:ascii="Times New Roman" w:hAnsi="Times New Roman"/>
          <w:sz w:val="24"/>
          <w:szCs w:val="24"/>
          <w:shd w:fill="FFFF00" w:val="clear"/>
        </w:rPr>
      </w:r>
    </w:p>
    <w:p>
      <w:pPr>
        <w:pStyle w:val="Ttulo1"/>
        <w:spacing w:lineRule="auto" w:line="240" w:before="0" w:after="0"/>
        <w:ind w:left="-5" w:hanging="10"/>
        <w:contextualSpacing/>
        <w:jc w:val="both"/>
        <w:rPr/>
      </w:pPr>
      <w:r>
        <w:rPr>
          <w:rFonts w:cs="Arial" w:ascii="Times New Roman" w:hAnsi="Times New Roman"/>
          <w:sz w:val="24"/>
          <w:szCs w:val="24"/>
        </w:rPr>
        <w:t>2. Descrição da necessidade</w:t>
      </w:r>
    </w:p>
    <w:p>
      <w:pPr>
        <w:pStyle w:val="Normal"/>
        <w:widowControl/>
        <w:bidi w:val="0"/>
        <w:spacing w:lineRule="auto" w:line="240" w:before="0" w:after="0"/>
        <w:ind w:left="0" w:right="0" w:firstLine="850"/>
        <w:contextualSpacing/>
        <w:jc w:val="both"/>
        <w:rPr>
          <w:i w:val="false"/>
          <w:i w:val="false"/>
          <w:iCs w:val="false"/>
        </w:rPr>
      </w:pPr>
      <w:r>
        <w:rPr>
          <w:rFonts w:eastAsia="Calibri" w:cs="Arial" w:ascii="Times New Roman" w:hAnsi="Times New Roman"/>
          <w:i w:val="false"/>
          <w:iCs w:val="false"/>
          <w:color w:val="000000"/>
          <w:kern w:val="0"/>
          <w:sz w:val="24"/>
          <w:szCs w:val="24"/>
          <w:lang w:val="pt-BR" w:eastAsia="pt-BR" w:bidi="ar-SA"/>
        </w:rPr>
        <w:t>O 32º BIL Mth</w:t>
      </w:r>
      <w:r>
        <w:rPr>
          <w:rFonts w:cs="Arial" w:ascii="Times New Roman" w:hAnsi="Times New Roman"/>
          <w:i w:val="false"/>
          <w:iCs w:val="false"/>
          <w:sz w:val="24"/>
          <w:szCs w:val="24"/>
        </w:rPr>
        <w:t xml:space="preserve">, composto por </w:t>
      </w:r>
      <w:r>
        <w:rPr>
          <w:rFonts w:cs="Arial" w:ascii="Times New Roman" w:hAnsi="Times New Roman"/>
          <w:i w:val="false"/>
          <w:iCs w:val="false"/>
          <w:sz w:val="24"/>
          <w:szCs w:val="24"/>
          <w:shd w:fill="auto" w:val="clear"/>
        </w:rPr>
        <w:t>520</w:t>
      </w:r>
      <w:r>
        <w:rPr>
          <w:rFonts w:cs="Arial" w:ascii="Times New Roman" w:hAnsi="Times New Roman"/>
          <w:i w:val="false"/>
          <w:iCs w:val="false"/>
          <w:sz w:val="24"/>
          <w:szCs w:val="24"/>
        </w:rPr>
        <w:t xml:space="preserve"> militares, tem a necessidade de adquirir gás liquefeito de petróleo (GLP) para suprir s</w:t>
      </w:r>
      <w:r>
        <w:rPr>
          <w:rFonts w:eastAsia="Calibri" w:cs="Arial" w:ascii="Times New Roman" w:hAnsi="Times New Roman"/>
          <w:i w:val="false"/>
          <w:iCs w:val="false"/>
          <w:color w:val="000000"/>
          <w:kern w:val="0"/>
          <w:sz w:val="24"/>
          <w:szCs w:val="24"/>
          <w:lang w:val="pt-BR" w:eastAsia="pt-BR" w:bidi="ar-SA"/>
        </w:rPr>
        <w:t>eu Serviço de Aprovisionamento</w:t>
      </w:r>
      <w:r>
        <w:rPr>
          <w:rFonts w:cs="Arial" w:ascii="Times New Roman" w:hAnsi="Times New Roman"/>
          <w:i w:val="false"/>
          <w:iCs w:val="false"/>
          <w:sz w:val="24"/>
          <w:szCs w:val="24"/>
        </w:rPr>
        <w:t xml:space="preserve"> e garantir o fornecimento diário de refeições adequadas aos militares. Essa necessidade é crucial para manter a eficiência operacional, a saúde e o bem-estar dos militares, sendo um problema a ser resolvido sob a perspectiva do interesse público.</w:t>
      </w:r>
    </w:p>
    <w:p>
      <w:pPr>
        <w:pStyle w:val="Normal"/>
        <w:widowControl/>
        <w:bidi w:val="0"/>
        <w:spacing w:lineRule="auto" w:line="240" w:before="0" w:after="0"/>
        <w:ind w:left="0" w:right="0" w:firstLine="850"/>
        <w:contextualSpacing/>
        <w:jc w:val="both"/>
        <w:rPr>
          <w:i w:val="false"/>
          <w:i w:val="false"/>
          <w:iCs w:val="false"/>
        </w:rPr>
      </w:pPr>
      <w:r>
        <w:rPr>
          <w:rFonts w:cs="Arial" w:ascii="Times New Roman" w:hAnsi="Times New Roman"/>
          <w:i w:val="false"/>
          <w:iCs w:val="false"/>
          <w:sz w:val="24"/>
          <w:szCs w:val="24"/>
        </w:rPr>
        <w:t>A aquisição de GLP é de extrema importância para garantir a preparação adequada das refeições diárias do batalhão. Considerando o contexto de uma instituição militar, a alimentação balanceada e a manutenção da energia física são fatores fundamentais para o desempenho das atividades e a prontidão dos militares.</w:t>
      </w:r>
    </w:p>
    <w:p>
      <w:pPr>
        <w:pStyle w:val="Normal"/>
        <w:widowControl/>
        <w:bidi w:val="0"/>
        <w:spacing w:lineRule="auto" w:line="240" w:before="0" w:after="0"/>
        <w:ind w:left="0" w:right="0" w:firstLine="850"/>
        <w:contextualSpacing/>
        <w:jc w:val="both"/>
        <w:rPr>
          <w:i w:val="false"/>
          <w:i w:val="false"/>
          <w:iCs w:val="false"/>
        </w:rPr>
      </w:pPr>
      <w:r>
        <w:rPr>
          <w:rFonts w:cs="Arial" w:ascii="Times New Roman" w:hAnsi="Times New Roman"/>
          <w:i w:val="false"/>
          <w:iCs w:val="false"/>
          <w:sz w:val="24"/>
          <w:szCs w:val="24"/>
        </w:rPr>
        <w:t>A escolha de adquirir gás liquefeito de petróleo é justificada pela sua eficiência, versatilidade e disponibilidade no mercado. O GLP é um combustível seguro, de fácil armazenamento e transporte, que se adapta às demandas de uma cozinha militar. Além disso, a utilização desse combustível permite o preparo de refeições em larga escala, atendendo às necessidades de um batalhão com um número significativo de militares.</w:t>
      </w:r>
    </w:p>
    <w:p>
      <w:pPr>
        <w:pStyle w:val="Normal"/>
        <w:widowControl/>
        <w:bidi w:val="0"/>
        <w:spacing w:lineRule="auto" w:line="240" w:before="0" w:after="0"/>
        <w:ind w:left="0" w:right="0" w:firstLine="850"/>
        <w:contextualSpacing/>
        <w:jc w:val="both"/>
        <w:rPr>
          <w:i w:val="false"/>
          <w:i w:val="false"/>
          <w:iCs w:val="false"/>
        </w:rPr>
      </w:pPr>
      <w:r>
        <w:rPr>
          <w:rFonts w:cs="Arial" w:ascii="Times New Roman" w:hAnsi="Times New Roman"/>
          <w:i w:val="false"/>
          <w:iCs w:val="false"/>
          <w:sz w:val="24"/>
          <w:szCs w:val="24"/>
        </w:rPr>
        <w:t>Além disso, a aquisição de GLP contribui para a otimização dos recursos, uma vez que esse tipo de combustível é amplamente utilizado, com uma infraestrutura de distribuição e abastecimento estabelecida. A escolha desse combustível permite uma gestão eficiente do suprimento de gás, facilitando a logística de abastecimento e minimizando os riscos de interrupção nas operações d</w:t>
      </w:r>
      <w:r>
        <w:rPr>
          <w:rFonts w:eastAsia="Calibri" w:cs="Arial" w:ascii="Times New Roman" w:hAnsi="Times New Roman"/>
          <w:i w:val="false"/>
          <w:iCs w:val="false"/>
          <w:color w:val="000000"/>
          <w:kern w:val="0"/>
          <w:sz w:val="24"/>
          <w:szCs w:val="24"/>
          <w:lang w:val="pt-BR" w:eastAsia="pt-BR" w:bidi="ar-SA"/>
        </w:rPr>
        <w:t>o Serviço de Aprovisionamento da OM</w:t>
      </w:r>
      <w:r>
        <w:rPr>
          <w:rFonts w:cs="Arial" w:ascii="Times New Roman" w:hAnsi="Times New Roman"/>
          <w:i w:val="false"/>
          <w:iCs w:val="false"/>
          <w:sz w:val="24"/>
          <w:szCs w:val="24"/>
        </w:rPr>
        <w:t>.</w:t>
      </w:r>
    </w:p>
    <w:p>
      <w:pPr>
        <w:pStyle w:val="Normal"/>
        <w:widowControl/>
        <w:bidi w:val="0"/>
        <w:spacing w:lineRule="auto" w:line="240" w:before="0" w:after="0"/>
        <w:ind w:left="0" w:right="0" w:firstLine="850"/>
        <w:contextualSpacing/>
        <w:jc w:val="both"/>
        <w:rPr>
          <w:i w:val="false"/>
          <w:i w:val="false"/>
          <w:iCs w:val="false"/>
        </w:rPr>
      </w:pPr>
      <w:r>
        <w:rPr>
          <w:rFonts w:cs="Arial" w:ascii="Times New Roman" w:hAnsi="Times New Roman"/>
          <w:i w:val="false"/>
          <w:iCs w:val="false"/>
          <w:sz w:val="24"/>
          <w:szCs w:val="24"/>
        </w:rPr>
        <w:t>Dessa forma, a aquisição de gás liquefeito de petróleo, considerando a necessidade de alimentar diariamente 520 militares, é uma solução que atende aos interesses públicos. Ela promove a eficiência operacional, o bem-estar dos militares e a segurança nas operações militares, garantindo um ambiente propício para o cumprimento das missões e responsabilidades do batalhão.</w:t>
      </w:r>
    </w:p>
    <w:p>
      <w:pPr>
        <w:pStyle w:val="Normal"/>
        <w:widowControl/>
        <w:bidi w:val="0"/>
        <w:spacing w:lineRule="auto" w:line="240" w:before="0" w:after="0"/>
        <w:ind w:left="0" w:right="0" w:firstLine="850"/>
        <w:contextualSpacing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Normal"/>
        <w:widowControl/>
        <w:bidi w:val="0"/>
        <w:spacing w:lineRule="auto" w:line="240" w:before="0" w:after="0"/>
        <w:ind w:left="0" w:right="0" w:firstLine="850"/>
        <w:contextualSpacing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Ttulo1"/>
        <w:spacing w:lineRule="auto" w:line="240" w:before="0" w:after="0"/>
        <w:ind w:left="-5" w:hanging="10"/>
        <w:contextualSpacing/>
        <w:jc w:val="both"/>
        <w:rPr/>
      </w:pPr>
      <w:r>
        <w:rPr>
          <w:rFonts w:cs="Arial" w:ascii="Times New Roman" w:hAnsi="Times New Roman"/>
          <w:sz w:val="24"/>
          <w:szCs w:val="24"/>
        </w:rPr>
        <w:t>3. Área requisitante</w:t>
      </w:r>
    </w:p>
    <w:tbl>
      <w:tblPr>
        <w:tblStyle w:val="TableGrid"/>
        <w:tblW w:w="7620" w:type="dxa"/>
        <w:jc w:val="left"/>
        <w:tblInd w:w="3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3793"/>
        <w:gridCol w:w="3826"/>
      </w:tblGrid>
      <w:tr>
        <w:trPr>
          <w:trHeight w:val="266" w:hRule="atLeast"/>
        </w:trPr>
        <w:tc>
          <w:tcPr>
            <w:tcW w:w="379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284" w:right="15" w:hanging="0"/>
              <w:contextualSpacing/>
              <w:jc w:val="both"/>
              <w:rPr>
                <w:rFonts w:ascii="Times New Roman" w:hAnsi="Times New Roman" w:cs="Arial"/>
                <w:kern w:val="0"/>
                <w:sz w:val="24"/>
                <w:szCs w:val="24"/>
                <w:lang w:val="pt-BR" w:eastAsia="pt-BR" w:bidi="ar-SA"/>
              </w:rPr>
            </w:pPr>
            <w:r>
              <w:rPr>
                <w:rFonts w:cs="Arial" w:ascii="Times New Roman" w:hAnsi="Times New Roman"/>
                <w:kern w:val="0"/>
                <w:sz w:val="24"/>
                <w:szCs w:val="24"/>
                <w:lang w:val="pt-BR" w:eastAsia="pt-BR" w:bidi="ar-SA"/>
              </w:rPr>
            </w:r>
          </w:p>
          <w:tbl>
            <w:tblPr>
              <w:tblStyle w:val="TableGrid"/>
              <w:tblW w:w="4654" w:type="dxa"/>
              <w:jc w:val="left"/>
              <w:tblInd w:w="0" w:type="dxa"/>
              <w:tblLayout w:type="fixed"/>
              <w:tblCellMar>
                <w:top w:w="36" w:type="dxa"/>
                <w:left w:w="115" w:type="dxa"/>
                <w:bottom w:w="0" w:type="dxa"/>
                <w:right w:w="115" w:type="dxa"/>
              </w:tblCellMar>
              <w:tblLook w:firstRow="1" w:noVBand="1" w:lastRow="0" w:firstColumn="1" w:lastColumn="0" w:noHBand="0" w:val="04a0"/>
            </w:tblPr>
            <w:tblGrid>
              <w:gridCol w:w="4654"/>
            </w:tblGrid>
            <w:tr>
              <w:trPr>
                <w:trHeight w:val="266" w:hRule="atLeast"/>
              </w:trPr>
              <w:tc>
                <w:tcPr>
                  <w:tcW w:w="4654" w:type="dxa"/>
                  <w:tcBorders/>
                  <w:shd w:color="auto" w:fill="CCCCCC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left="0" w:hanging="0"/>
                    <w:contextualSpacing/>
                    <w:jc w:val="left"/>
                    <w:rPr>
                      <w:rFonts w:ascii="Times New Roman" w:hAnsi="Times New Roman" w:cs="Arial"/>
                      <w:kern w:val="0"/>
                      <w:sz w:val="24"/>
                      <w:szCs w:val="24"/>
                      <w:lang w:val="pt-BR" w:eastAsia="pt-BR" w:bidi="ar-SA"/>
                    </w:rPr>
                  </w:pPr>
                  <w:r>
                    <w:rPr>
                      <w:rFonts w:cs="Arial" w:ascii="Times New Roman" w:hAnsi="Times New Roman"/>
                      <w:b/>
                      <w:kern w:val="0"/>
                      <w:sz w:val="24"/>
                      <w:szCs w:val="24"/>
                      <w:lang w:val="pt-BR" w:eastAsia="pt-BR" w:bidi="ar-SA"/>
                    </w:rPr>
                    <w:t>Área Requisitante</w:t>
                  </w:r>
                </w:p>
              </w:tc>
            </w:tr>
          </w:tbl>
          <w:p>
            <w:pPr>
              <w:pStyle w:val="Normal"/>
              <w:widowControl w:val="false"/>
              <w:spacing w:lineRule="auto" w:line="240" w:before="0" w:after="0"/>
              <w:ind w:left="0" w:hanging="0"/>
              <w:contextualSpacing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</w:r>
          </w:p>
        </w:tc>
        <w:tc>
          <w:tcPr>
            <w:tcW w:w="382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5953" w:right="10622" w:hanging="0"/>
              <w:contextualSpacing/>
              <w:jc w:val="both"/>
              <w:rPr>
                <w:rFonts w:ascii="Times New Roman" w:hAnsi="Times New Roman" w:cs="Arial"/>
                <w:kern w:val="0"/>
                <w:sz w:val="24"/>
                <w:szCs w:val="24"/>
                <w:lang w:val="pt-BR" w:eastAsia="pt-BR" w:bidi="ar-SA"/>
              </w:rPr>
            </w:pPr>
            <w:r>
              <w:rPr>
                <w:rFonts w:cs="Arial" w:ascii="Times New Roman" w:hAnsi="Times New Roman"/>
                <w:kern w:val="0"/>
                <w:sz w:val="24"/>
                <w:szCs w:val="24"/>
                <w:lang w:val="pt-BR" w:eastAsia="pt-BR" w:bidi="ar-SA"/>
              </w:rPr>
            </w:r>
          </w:p>
          <w:tbl>
            <w:tblPr>
              <w:tblStyle w:val="TableGrid"/>
              <w:tblW w:w="4654" w:type="dxa"/>
              <w:jc w:val="left"/>
              <w:tblInd w:w="15" w:type="dxa"/>
              <w:tblLayout w:type="fixed"/>
              <w:tblCellMar>
                <w:top w:w="36" w:type="dxa"/>
                <w:left w:w="115" w:type="dxa"/>
                <w:bottom w:w="0" w:type="dxa"/>
                <w:right w:w="115" w:type="dxa"/>
              </w:tblCellMar>
              <w:tblLook w:firstRow="1" w:noVBand="1" w:lastRow="0" w:firstColumn="1" w:lastColumn="0" w:noHBand="0" w:val="04a0"/>
            </w:tblPr>
            <w:tblGrid>
              <w:gridCol w:w="4654"/>
            </w:tblGrid>
            <w:tr>
              <w:trPr>
                <w:trHeight w:val="266" w:hRule="atLeast"/>
              </w:trPr>
              <w:tc>
                <w:tcPr>
                  <w:tcW w:w="4654" w:type="dxa"/>
                  <w:tcBorders/>
                  <w:shd w:color="auto" w:fill="CCCCCC" w:val="clear"/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ind w:left="0" w:right="1" w:hanging="0"/>
                    <w:contextualSpacing/>
                    <w:jc w:val="left"/>
                    <w:rPr>
                      <w:rFonts w:ascii="Times New Roman" w:hAnsi="Times New Roman" w:cs="Arial"/>
                      <w:kern w:val="0"/>
                      <w:sz w:val="24"/>
                      <w:szCs w:val="24"/>
                      <w:lang w:val="pt-BR" w:eastAsia="pt-BR" w:bidi="ar-SA"/>
                    </w:rPr>
                  </w:pPr>
                  <w:r>
                    <w:rPr>
                      <w:rFonts w:cs="Arial" w:ascii="Times New Roman" w:hAnsi="Times New Roman"/>
                      <w:b/>
                      <w:kern w:val="0"/>
                      <w:sz w:val="24"/>
                      <w:szCs w:val="24"/>
                      <w:lang w:val="pt-BR" w:eastAsia="pt-BR" w:bidi="ar-SA"/>
                    </w:rPr>
                    <w:t>Responsável</w:t>
                  </w:r>
                </w:p>
              </w:tc>
            </w:tr>
          </w:tbl>
          <w:p>
            <w:pPr>
              <w:pStyle w:val="Normal"/>
              <w:widowControl w:val="false"/>
              <w:spacing w:lineRule="auto" w:line="240" w:before="0" w:after="0"/>
              <w:ind w:left="0" w:hanging="0"/>
              <w:contextualSpacing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tabs>
          <w:tab w:val="clear" w:pos="708"/>
          <w:tab w:val="center" w:pos="5888" w:leader="none"/>
        </w:tabs>
        <w:spacing w:lineRule="auto" w:line="240" w:before="0" w:after="0"/>
        <w:ind w:left="-15" w:hanging="0"/>
        <w:contextualSpacing/>
        <w:jc w:val="both"/>
        <w:rPr/>
      </w:pPr>
      <w:r>
        <w:rPr>
          <w:rFonts w:cs="Arial" w:ascii="Times New Roman" w:hAnsi="Times New Roman"/>
          <w:sz w:val="24"/>
          <w:szCs w:val="24"/>
        </w:rPr>
        <w:t xml:space="preserve">  </w:t>
      </w:r>
      <w:r>
        <w:rPr>
          <w:rFonts w:cs="Arial" w:ascii="Times New Roman" w:hAnsi="Times New Roman"/>
          <w:sz w:val="24"/>
          <w:szCs w:val="24"/>
        </w:rPr>
        <w:t xml:space="preserve">Setor de </w:t>
      </w:r>
      <w:r>
        <w:rPr>
          <w:rFonts w:eastAsia="Calibri" w:cs="Arial" w:ascii="Times New Roman" w:hAnsi="Times New Roman"/>
          <w:color w:val="000000"/>
          <w:kern w:val="0"/>
          <w:sz w:val="24"/>
          <w:szCs w:val="24"/>
          <w:lang w:val="pt-BR" w:eastAsia="pt-BR" w:bidi="ar-SA"/>
        </w:rPr>
        <w:t>Aprovisionamento</w:t>
      </w:r>
      <w:r>
        <w:rPr>
          <w:rFonts w:cs="Arial" w:ascii="Times New Roman" w:hAnsi="Times New Roman"/>
          <w:sz w:val="24"/>
          <w:szCs w:val="24"/>
        </w:rPr>
        <w:t xml:space="preserve">                    </w:t>
      </w:r>
      <w:r>
        <w:rPr>
          <w:rFonts w:eastAsia="Calibri" w:cs="Arial" w:ascii="Times New Roman" w:hAnsi="Times New Roman"/>
          <w:color w:val="000000"/>
          <w:kern w:val="0"/>
          <w:sz w:val="24"/>
          <w:szCs w:val="24"/>
          <w:lang w:val="pt-BR" w:eastAsia="pt-BR" w:bidi="ar-SA"/>
        </w:rPr>
        <w:t>Arigilvan Ferreira da Silva Junior</w:t>
      </w:r>
    </w:p>
    <w:p>
      <w:pPr>
        <w:pStyle w:val="Ttulo1"/>
        <w:spacing w:lineRule="auto" w:line="240" w:before="0" w:after="0"/>
        <w:ind w:left="-5" w:hanging="10"/>
        <w:contextualSpacing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Ttulo1"/>
        <w:spacing w:lineRule="auto" w:line="240" w:before="0" w:after="0"/>
        <w:ind w:left="-5" w:hanging="10"/>
        <w:contextualSpacing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Ttulo1"/>
        <w:spacing w:lineRule="auto" w:line="240" w:before="0" w:after="0"/>
        <w:ind w:left="-5" w:hanging="10"/>
        <w:contextualSpacing/>
        <w:jc w:val="both"/>
        <w:rPr/>
      </w:pPr>
      <w:r>
        <w:rPr>
          <w:rFonts w:cs="Arial" w:ascii="Times New Roman" w:hAnsi="Times New Roman"/>
          <w:sz w:val="24"/>
          <w:szCs w:val="24"/>
        </w:rPr>
        <w:t>4. Descrição dos Requisitos da Contratação</w:t>
      </w:r>
    </w:p>
    <w:p>
      <w:pPr>
        <w:pStyle w:val="Normal"/>
        <w:widowControl/>
        <w:bidi w:val="0"/>
        <w:spacing w:lineRule="auto" w:line="240" w:before="0" w:after="0"/>
        <w:ind w:left="0" w:right="0" w:firstLine="850"/>
        <w:contextualSpacing/>
        <w:jc w:val="both"/>
        <w:rPr/>
      </w:pPr>
      <w:r>
        <w:rPr>
          <w:rFonts w:cs="Arial" w:ascii="Times New Roman" w:hAnsi="Times New Roman"/>
          <w:sz w:val="24"/>
          <w:szCs w:val="24"/>
        </w:rPr>
        <w:t xml:space="preserve">O presente estudo tem como objetivo estabelecer os requisitos necessários para </w:t>
      </w:r>
      <w:r>
        <w:rPr>
          <w:rFonts w:eastAsia="Calibri" w:cs="Arial" w:ascii="Times New Roman" w:hAnsi="Times New Roman"/>
          <w:color w:val="000000"/>
          <w:kern w:val="0"/>
          <w:sz w:val="24"/>
          <w:szCs w:val="24"/>
          <w:lang w:val="pt-BR" w:eastAsia="pt-BR" w:bidi="ar-SA"/>
        </w:rPr>
        <w:t>aquisição</w:t>
      </w:r>
      <w:r>
        <w:rPr>
          <w:rFonts w:cs="Arial" w:ascii="Times New Roman" w:hAnsi="Times New Roman"/>
          <w:sz w:val="24"/>
          <w:szCs w:val="24"/>
        </w:rPr>
        <w:t xml:space="preserve"> de gás liquefeito de petróleo (GLP) destinado ao uso na cozinha do 32º BIL Mth. O batalhão é composto por um efetivo de </w:t>
      </w:r>
      <w:r>
        <w:rPr>
          <w:rFonts w:eastAsia="Calibri" w:cs="Arial" w:ascii="Times New Roman" w:hAnsi="Times New Roman"/>
          <w:color w:val="000000"/>
          <w:kern w:val="0"/>
          <w:sz w:val="24"/>
          <w:szCs w:val="24"/>
          <w:shd w:fill="auto" w:val="clear"/>
          <w:lang w:val="pt-BR" w:eastAsia="pt-BR" w:bidi="ar-SA"/>
        </w:rPr>
        <w:t>520</w:t>
      </w:r>
      <w:r>
        <w:rPr>
          <w:rFonts w:cs="Arial" w:ascii="Times New Roman" w:hAnsi="Times New Roman"/>
          <w:sz w:val="24"/>
          <w:szCs w:val="24"/>
        </w:rPr>
        <w:t xml:space="preserve"> militares, tornando essencial o fornecimento adequado de GLP para a preparação diária das refeições. Os requisitos abaixo apresentados visam garantir a eficiência, a qualidade e a segurança no processo de contratação.</w:t>
      </w:r>
    </w:p>
    <w:p>
      <w:pPr>
        <w:pStyle w:val="Normal"/>
        <w:widowControl/>
        <w:bidi w:val="0"/>
        <w:spacing w:lineRule="auto" w:line="240" w:before="0" w:after="0"/>
        <w:ind w:left="0" w:right="0" w:firstLine="850"/>
        <w:contextualSpacing/>
        <w:jc w:val="both"/>
        <w:rPr/>
      </w:pPr>
      <w:r>
        <w:rPr>
          <w:rFonts w:cs="Arial" w:ascii="Times New Roman" w:hAnsi="Times New Roman"/>
          <w:sz w:val="24"/>
          <w:szCs w:val="24"/>
        </w:rPr>
        <w:t>O fornecedor de GLP deve ter a capacidade de fornecer uma quantidade suficiente de gás para atender a demanda diária da cozinha do batalhão, considerando o preparo de refeições para 5</w:t>
      </w:r>
      <w:r>
        <w:rPr>
          <w:rFonts w:eastAsia="Calibri" w:cs="Arial" w:ascii="Times New Roman" w:hAnsi="Times New Roman"/>
          <w:color w:val="000000"/>
          <w:kern w:val="0"/>
          <w:sz w:val="24"/>
          <w:szCs w:val="24"/>
          <w:lang w:val="pt-BR" w:eastAsia="pt-BR" w:bidi="ar-SA"/>
        </w:rPr>
        <w:t>2</w:t>
      </w:r>
      <w:r>
        <w:rPr>
          <w:rFonts w:cs="Arial" w:ascii="Times New Roman" w:hAnsi="Times New Roman"/>
          <w:sz w:val="24"/>
          <w:szCs w:val="24"/>
        </w:rPr>
        <w:t>0 militares.</w:t>
      </w:r>
    </w:p>
    <w:p>
      <w:pPr>
        <w:pStyle w:val="Normal"/>
        <w:widowControl/>
        <w:bidi w:val="0"/>
        <w:spacing w:lineRule="auto" w:line="240" w:before="0" w:after="0"/>
        <w:ind w:left="0" w:right="0" w:firstLine="850"/>
        <w:contextualSpacing/>
        <w:jc w:val="both"/>
        <w:rPr/>
      </w:pPr>
      <w:r>
        <w:rPr>
          <w:rFonts w:cs="Arial" w:ascii="Times New Roman" w:hAnsi="Times New Roman"/>
          <w:sz w:val="24"/>
          <w:szCs w:val="24"/>
        </w:rPr>
        <w:t>Deve ser assegurado o fornecimento contínuo de GLP, garantindo a disponibilidade do combustível para as atividades diárias de preparo de refeições, inclusive em situações de alta demanda ou em operações militares.</w:t>
      </w:r>
    </w:p>
    <w:p>
      <w:pPr>
        <w:pStyle w:val="Normal"/>
        <w:widowControl/>
        <w:bidi w:val="0"/>
        <w:spacing w:lineRule="auto" w:line="240" w:before="0" w:after="0"/>
        <w:ind w:left="0" w:right="0" w:firstLine="850"/>
        <w:contextualSpacing/>
        <w:jc w:val="both"/>
        <w:rPr/>
      </w:pPr>
      <w:r>
        <w:rPr>
          <w:rFonts w:cs="Arial" w:ascii="Times New Roman" w:hAnsi="Times New Roman"/>
          <w:sz w:val="24"/>
          <w:szCs w:val="24"/>
        </w:rPr>
        <w:t>O fornecedor deve comprovar a qualidade do GLP, atendendo aos padrões e especificações técnicas estabelecidas pelos órgãos reguladores competentes.</w:t>
      </w:r>
    </w:p>
    <w:p>
      <w:pPr>
        <w:pStyle w:val="Normal"/>
        <w:widowControl/>
        <w:bidi w:val="0"/>
        <w:spacing w:lineRule="auto" w:line="240" w:before="0" w:after="0"/>
        <w:ind w:left="0" w:right="0" w:firstLine="850"/>
        <w:contextualSpacing/>
        <w:jc w:val="both"/>
        <w:rPr/>
      </w:pPr>
      <w:r>
        <w:rPr>
          <w:rFonts w:cs="Arial" w:ascii="Times New Roman" w:hAnsi="Times New Roman"/>
          <w:sz w:val="24"/>
          <w:szCs w:val="24"/>
        </w:rPr>
        <w:t>É fundamental que o fornecedor adote medidas rigorosas de segurança, armazenamento e transporte do GLP, de acordo com as normas de segurança vigentes, visando a integridade dos militares, das instalações e do meio ambiente.</w:t>
      </w:r>
    </w:p>
    <w:p>
      <w:pPr>
        <w:pStyle w:val="Normal"/>
        <w:widowControl/>
        <w:bidi w:val="0"/>
        <w:spacing w:lineRule="auto" w:line="240" w:before="0" w:after="0"/>
        <w:ind w:left="0" w:right="0" w:firstLine="850"/>
        <w:contextualSpacing/>
        <w:jc w:val="both"/>
        <w:rPr/>
      </w:pPr>
      <w:r>
        <w:rPr>
          <w:rFonts w:cs="Arial" w:ascii="Times New Roman" w:hAnsi="Times New Roman"/>
          <w:sz w:val="24"/>
          <w:szCs w:val="24"/>
        </w:rPr>
        <w:t>O fornecedor deve possuir uma estrutura logística eficiente e uma rede de distribuição abrangente, capaz de atender às necessidades do batalhão, inclusive em áreas de difícil acesso.</w:t>
      </w:r>
    </w:p>
    <w:p>
      <w:pPr>
        <w:pStyle w:val="Normal"/>
        <w:widowControl/>
        <w:bidi w:val="0"/>
        <w:spacing w:lineRule="auto" w:line="240" w:before="0" w:after="0"/>
        <w:ind w:left="0" w:right="0" w:firstLine="850"/>
        <w:contextualSpacing/>
        <w:jc w:val="both"/>
        <w:rPr/>
      </w:pPr>
      <w:r>
        <w:rPr>
          <w:rFonts w:cs="Arial" w:ascii="Times New Roman" w:hAnsi="Times New Roman"/>
          <w:sz w:val="24"/>
          <w:szCs w:val="24"/>
        </w:rPr>
        <w:t xml:space="preserve">É </w:t>
      </w:r>
      <w:r>
        <w:rPr>
          <w:rFonts w:eastAsia="Calibri" w:cs="Arial" w:ascii="Times New Roman" w:hAnsi="Times New Roman"/>
          <w:color w:val="000000"/>
          <w:kern w:val="0"/>
          <w:sz w:val="24"/>
          <w:szCs w:val="24"/>
          <w:lang w:val="pt-BR" w:eastAsia="pt-BR" w:bidi="ar-SA"/>
        </w:rPr>
        <w:t>necessário</w:t>
      </w:r>
      <w:r>
        <w:rPr>
          <w:rFonts w:cs="Arial" w:ascii="Times New Roman" w:hAnsi="Times New Roman"/>
          <w:sz w:val="24"/>
          <w:szCs w:val="24"/>
        </w:rPr>
        <w:t xml:space="preserve"> que o fornecedor disponha de recursos e equipamentos adequados para realizar o abastecimento de forma ágil e segura, minimizando o tempo de entrega e evitando a interrupção das operações da cozinha.</w:t>
      </w:r>
    </w:p>
    <w:p>
      <w:pPr>
        <w:pStyle w:val="Normal"/>
        <w:widowControl/>
        <w:bidi w:val="0"/>
        <w:spacing w:lineRule="auto" w:line="240" w:before="0" w:after="0"/>
        <w:ind w:left="0" w:right="0" w:firstLine="850"/>
        <w:contextualSpacing/>
        <w:jc w:val="both"/>
        <w:rPr/>
      </w:pPr>
      <w:r>
        <w:rPr>
          <w:rFonts w:cs="Arial" w:ascii="Times New Roman" w:hAnsi="Times New Roman"/>
          <w:sz w:val="24"/>
          <w:szCs w:val="24"/>
        </w:rPr>
        <w:t>O fornecedor deve oferecer suporte técnico especializado, garantindo assistência rápida em casos de emergência, manutenção ou eventuais problemas relacionados ao fornecimento de GLP.</w:t>
      </w:r>
    </w:p>
    <w:p>
      <w:pPr>
        <w:pStyle w:val="Normal"/>
        <w:widowControl/>
        <w:bidi w:val="0"/>
        <w:spacing w:lineRule="auto" w:line="240" w:before="0" w:after="0"/>
        <w:ind w:left="0" w:right="0" w:firstLine="850"/>
        <w:contextualSpacing/>
        <w:jc w:val="both"/>
        <w:rPr/>
      </w:pPr>
      <w:r>
        <w:rPr>
          <w:rFonts w:cs="Arial" w:ascii="Times New Roman" w:hAnsi="Times New Roman"/>
          <w:sz w:val="24"/>
          <w:szCs w:val="24"/>
        </w:rPr>
        <w:t xml:space="preserve">É </w:t>
      </w:r>
      <w:r>
        <w:rPr>
          <w:rFonts w:eastAsia="Calibri" w:cs="Arial" w:ascii="Times New Roman" w:hAnsi="Times New Roman"/>
          <w:color w:val="000000"/>
          <w:kern w:val="0"/>
          <w:sz w:val="24"/>
          <w:szCs w:val="24"/>
          <w:lang w:val="pt-BR" w:eastAsia="pt-BR" w:bidi="ar-SA"/>
        </w:rPr>
        <w:t>necessário</w:t>
      </w:r>
      <w:r>
        <w:rPr>
          <w:rFonts w:cs="Arial" w:ascii="Times New Roman" w:hAnsi="Times New Roman"/>
          <w:sz w:val="24"/>
          <w:szCs w:val="24"/>
        </w:rPr>
        <w:t xml:space="preserve"> que o fornecedor disponha de um canal de atendimento ao cliente eficiente, que possibilite o registro e o acompanhamento de solicitações, visando a resolução ágil de eventuais questões.</w:t>
      </w:r>
    </w:p>
    <w:p>
      <w:pPr>
        <w:pStyle w:val="Normal"/>
        <w:widowControl/>
        <w:bidi w:val="0"/>
        <w:spacing w:lineRule="auto" w:line="240" w:before="0" w:after="0"/>
        <w:ind w:left="0" w:right="0" w:firstLine="850"/>
        <w:contextualSpacing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left="0" w:hanging="0"/>
        <w:contextualSpacing/>
        <w:jc w:val="both"/>
        <w:rPr>
          <w:rFonts w:ascii="Times New Roman" w:hAnsi="Times New Roman" w:cs="Arial"/>
          <w:b/>
          <w:b/>
          <w:sz w:val="24"/>
          <w:szCs w:val="24"/>
        </w:rPr>
      </w:pPr>
      <w:r>
        <w:rPr>
          <w:rFonts w:cs="Arial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ind w:left="0" w:hanging="0"/>
        <w:contextualSpacing/>
        <w:jc w:val="both"/>
        <w:rPr/>
      </w:pPr>
      <w:r>
        <w:rPr>
          <w:rFonts w:cs="Arial" w:ascii="Times New Roman" w:hAnsi="Times New Roman"/>
          <w:b/>
          <w:sz w:val="24"/>
          <w:szCs w:val="24"/>
        </w:rPr>
        <w:t xml:space="preserve"> </w:t>
      </w:r>
      <w:r>
        <w:rPr>
          <w:rFonts w:cs="Arial" w:ascii="Times New Roman" w:hAnsi="Times New Roman"/>
          <w:b/>
          <w:sz w:val="24"/>
          <w:szCs w:val="24"/>
        </w:rPr>
        <w:t>5. Levantamento de Mercado</w:t>
      </w:r>
    </w:p>
    <w:p>
      <w:pPr>
        <w:pStyle w:val="Normal"/>
        <w:widowControl/>
        <w:bidi w:val="0"/>
        <w:spacing w:lineRule="auto" w:line="240" w:before="0" w:after="0"/>
        <w:ind w:left="0" w:right="0" w:firstLine="850"/>
        <w:contextualSpacing/>
        <w:jc w:val="both"/>
        <w:rPr/>
      </w:pPr>
      <w:r>
        <w:rPr>
          <w:rFonts w:cs="Arial" w:ascii="Times New Roman" w:hAnsi="Times New Roman"/>
          <w:sz w:val="24"/>
          <w:szCs w:val="24"/>
        </w:rPr>
        <w:t xml:space="preserve">A fim de subsidiar a escolha pela melhor opção para a solução, foi realizado </w:t>
      </w:r>
      <w:r>
        <w:rPr>
          <w:rFonts w:eastAsia="Calibri" w:cs="Arial" w:ascii="Times New Roman" w:hAnsi="Times New Roman"/>
          <w:color w:val="000000"/>
          <w:kern w:val="0"/>
          <w:sz w:val="24"/>
          <w:szCs w:val="24"/>
          <w:lang w:val="pt-BR" w:eastAsia="pt-BR" w:bidi="ar-SA"/>
        </w:rPr>
        <w:t>estudo</w:t>
      </w:r>
      <w:r>
        <w:rPr>
          <w:rFonts w:cs="Arial" w:ascii="Times New Roman" w:hAnsi="Times New Roman"/>
          <w:sz w:val="24"/>
          <w:szCs w:val="24"/>
        </w:rPr>
        <w:t xml:space="preserve"> </w:t>
      </w:r>
      <w:r>
        <w:rPr>
          <w:rFonts w:eastAsia="Calibri" w:cs="Arial" w:ascii="Times New Roman" w:hAnsi="Times New Roman"/>
          <w:color w:val="000000"/>
          <w:kern w:val="0"/>
          <w:sz w:val="24"/>
          <w:szCs w:val="24"/>
          <w:lang w:val="pt-BR" w:eastAsia="pt-BR" w:bidi="ar-SA"/>
        </w:rPr>
        <w:t>em sites de empresas fornecedoras de GLP (Petrobras, Ultragaz e Supergasbras) e da Agência Nacional do Petróleo, de onde foram obtidas as informações sobre os três tipos de fornecimento de gás de cozinha.</w:t>
      </w:r>
    </w:p>
    <w:p>
      <w:pPr>
        <w:pStyle w:val="Normal"/>
        <w:widowControl/>
        <w:bidi w:val="0"/>
        <w:spacing w:lineRule="auto" w:line="240" w:before="0" w:after="0"/>
        <w:ind w:left="0" w:right="0" w:firstLine="850"/>
        <w:contextualSpacing/>
        <w:jc w:val="both"/>
        <w:rPr/>
      </w:pPr>
      <w:r>
        <w:rPr>
          <w:rFonts w:eastAsia="Calibri" w:cs="Arial" w:ascii="Times New Roman" w:hAnsi="Times New Roman"/>
          <w:color w:val="000000"/>
          <w:kern w:val="0"/>
          <w:sz w:val="24"/>
          <w:szCs w:val="24"/>
          <w:lang w:val="pt-BR" w:eastAsia="pt-BR" w:bidi="ar-SA"/>
        </w:rPr>
        <w:t>Existem três tipos principais de aquisição de gás de cozinha: o botijão P13, o botijão P45 e o fornecimento a granel em reservatório P190. Cada um desses métodos possui vantagens específicas que devem ser consideradas ao justificar a solução mais adequada.</w:t>
      </w:r>
    </w:p>
    <w:p>
      <w:pPr>
        <w:pStyle w:val="Normal"/>
        <w:widowControl/>
        <w:bidi w:val="0"/>
        <w:spacing w:lineRule="auto" w:line="240" w:before="0" w:after="0"/>
        <w:ind w:left="0" w:right="0" w:firstLine="850"/>
        <w:contextualSpacing/>
        <w:jc w:val="both"/>
        <w:rPr/>
      </w:pPr>
      <w:r>
        <w:rPr>
          <w:rFonts w:eastAsia="Calibri" w:cs="Arial" w:ascii="Times New Roman" w:hAnsi="Times New Roman"/>
          <w:color w:val="000000"/>
          <w:kern w:val="0"/>
          <w:sz w:val="24"/>
          <w:szCs w:val="24"/>
          <w:lang w:val="pt-BR" w:eastAsia="pt-BR" w:bidi="ar-SA"/>
        </w:rPr>
        <w:t>1. Botijão P13:</w:t>
      </w:r>
    </w:p>
    <w:p>
      <w:pPr>
        <w:pStyle w:val="Normal"/>
        <w:widowControl/>
        <w:bidi w:val="0"/>
        <w:spacing w:lineRule="auto" w:line="240" w:before="0" w:after="0"/>
        <w:ind w:left="0" w:right="0" w:firstLine="850"/>
        <w:contextualSpacing/>
        <w:jc w:val="both"/>
        <w:rPr/>
      </w:pPr>
      <w:r>
        <w:rPr>
          <w:rFonts w:eastAsia="Calibri" w:cs="Arial" w:ascii="Times New Roman" w:hAnsi="Times New Roman"/>
          <w:color w:val="000000"/>
          <w:kern w:val="0"/>
          <w:sz w:val="24"/>
          <w:szCs w:val="24"/>
          <w:lang w:val="pt-BR" w:eastAsia="pt-BR" w:bidi="ar-SA"/>
        </w:rPr>
        <w:t>- Praticidade: O botijão P13 é compacto e portátil, facilitando o manuseio e o transporte para áreas remotas ou em campo de operações militares.</w:t>
      </w:r>
    </w:p>
    <w:p>
      <w:pPr>
        <w:pStyle w:val="Normal"/>
        <w:widowControl/>
        <w:bidi w:val="0"/>
        <w:spacing w:lineRule="auto" w:line="240" w:before="0" w:after="0"/>
        <w:ind w:left="0" w:right="0" w:firstLine="850"/>
        <w:contextualSpacing/>
        <w:jc w:val="both"/>
        <w:rPr/>
      </w:pPr>
      <w:r>
        <w:rPr>
          <w:rFonts w:eastAsia="Calibri" w:cs="Arial" w:ascii="Times New Roman" w:hAnsi="Times New Roman"/>
          <w:color w:val="000000"/>
          <w:kern w:val="0"/>
          <w:sz w:val="24"/>
          <w:szCs w:val="24"/>
          <w:lang w:val="pt-BR" w:eastAsia="pt-BR" w:bidi="ar-SA"/>
        </w:rPr>
        <w:t>- Versatilidade: Esse tipo de botijão pode ser facilmente conectado a fogões convencionais e outros equipamentos de cozinha, proporcionando flexibilidade na sua utilização, principalmente nos casos em que a OM estabelece sua cozinha tática em locais diversos.</w:t>
      </w:r>
    </w:p>
    <w:p>
      <w:pPr>
        <w:pStyle w:val="Normal"/>
        <w:widowControl/>
        <w:bidi w:val="0"/>
        <w:spacing w:lineRule="auto" w:line="240" w:before="0" w:after="0"/>
        <w:ind w:left="0" w:right="0" w:firstLine="850"/>
        <w:contextualSpacing/>
        <w:jc w:val="both"/>
        <w:rPr/>
      </w:pPr>
      <w:r>
        <w:rPr>
          <w:rFonts w:eastAsia="Calibri" w:cs="Arial" w:ascii="Times New Roman" w:hAnsi="Times New Roman"/>
          <w:color w:val="000000"/>
          <w:kern w:val="0"/>
          <w:sz w:val="24"/>
          <w:szCs w:val="24"/>
          <w:lang w:val="pt-BR" w:eastAsia="pt-BR" w:bidi="ar-SA"/>
        </w:rPr>
        <w:t>2. Botijão P45:</w:t>
      </w:r>
    </w:p>
    <w:p>
      <w:pPr>
        <w:pStyle w:val="Normal"/>
        <w:widowControl/>
        <w:bidi w:val="0"/>
        <w:spacing w:lineRule="auto" w:line="240" w:before="0" w:after="0"/>
        <w:ind w:left="0" w:right="0" w:firstLine="850"/>
        <w:contextualSpacing/>
        <w:jc w:val="both"/>
        <w:rPr/>
      </w:pPr>
      <w:r>
        <w:rPr>
          <w:rFonts w:eastAsia="Calibri" w:cs="Arial" w:ascii="Times New Roman" w:hAnsi="Times New Roman"/>
          <w:color w:val="000000"/>
          <w:kern w:val="0"/>
          <w:sz w:val="24"/>
          <w:szCs w:val="24"/>
          <w:lang w:val="pt-BR" w:eastAsia="pt-BR" w:bidi="ar-SA"/>
        </w:rPr>
        <w:t>- Capacidade maior: O botijão P45 possui uma capacidade maior em relação ao P13, o que o torna adequado para cozinhas que atendem a um número maior de militares, como no caso de um órgão militar com 520 efetivos.</w:t>
      </w:r>
    </w:p>
    <w:p>
      <w:pPr>
        <w:pStyle w:val="Normal"/>
        <w:widowControl/>
        <w:bidi w:val="0"/>
        <w:spacing w:lineRule="auto" w:line="240" w:before="0" w:after="0"/>
        <w:ind w:left="0" w:right="0" w:firstLine="850"/>
        <w:contextualSpacing/>
        <w:jc w:val="both"/>
        <w:rPr/>
      </w:pPr>
      <w:r>
        <w:rPr>
          <w:rFonts w:eastAsia="Calibri" w:cs="Arial" w:ascii="Times New Roman" w:hAnsi="Times New Roman"/>
          <w:color w:val="000000"/>
          <w:kern w:val="0"/>
          <w:sz w:val="24"/>
          <w:szCs w:val="24"/>
          <w:lang w:val="pt-BR" w:eastAsia="pt-BR" w:bidi="ar-SA"/>
        </w:rPr>
        <w:t>- Durabilidade: Devido à sua capacidade maior, o botijão P45 precisa ser substituído com menos frequência, reduzindo o tempo e o esforço necessários para a reposição de gás.</w:t>
      </w:r>
    </w:p>
    <w:p>
      <w:pPr>
        <w:pStyle w:val="Normal"/>
        <w:widowControl/>
        <w:bidi w:val="0"/>
        <w:spacing w:lineRule="auto" w:line="240" w:before="0" w:after="0"/>
        <w:ind w:left="0" w:right="0" w:firstLine="850"/>
        <w:contextualSpacing/>
        <w:jc w:val="both"/>
        <w:rPr/>
      </w:pPr>
      <w:r>
        <w:rPr>
          <w:rFonts w:eastAsia="Calibri" w:cs="Arial" w:ascii="Times New Roman" w:hAnsi="Times New Roman"/>
          <w:color w:val="000000"/>
          <w:kern w:val="0"/>
          <w:sz w:val="24"/>
          <w:szCs w:val="24"/>
          <w:lang w:val="pt-BR" w:eastAsia="pt-BR" w:bidi="ar-SA"/>
        </w:rPr>
        <w:t>- Custo-benefício: Comprar gás em botijões de maior capacidade geralmente é mais econômico, pois os custos de transporte e armazenamento são diluídos em uma quantidade maior de gás.</w:t>
      </w:r>
    </w:p>
    <w:p>
      <w:pPr>
        <w:pStyle w:val="Normal"/>
        <w:widowControl/>
        <w:bidi w:val="0"/>
        <w:spacing w:lineRule="auto" w:line="240" w:before="0" w:after="0"/>
        <w:ind w:left="0" w:right="0" w:firstLine="850"/>
        <w:contextualSpacing/>
        <w:jc w:val="both"/>
        <w:rPr/>
      </w:pPr>
      <w:r>
        <w:rPr>
          <w:rFonts w:eastAsia="Calibri" w:cs="Arial" w:ascii="Times New Roman" w:hAnsi="Times New Roman"/>
          <w:color w:val="000000"/>
          <w:kern w:val="0"/>
          <w:sz w:val="24"/>
          <w:szCs w:val="24"/>
          <w:lang w:val="pt-BR" w:eastAsia="pt-BR" w:bidi="ar-SA"/>
        </w:rPr>
        <w:t>3. Fornecimento a granel em reservatório P190:</w:t>
      </w:r>
    </w:p>
    <w:p>
      <w:pPr>
        <w:pStyle w:val="Normal"/>
        <w:widowControl/>
        <w:bidi w:val="0"/>
        <w:spacing w:lineRule="auto" w:line="240" w:before="0" w:after="0"/>
        <w:ind w:left="0" w:right="0" w:firstLine="850"/>
        <w:contextualSpacing/>
        <w:jc w:val="both"/>
        <w:rPr/>
      </w:pPr>
      <w:r>
        <w:rPr>
          <w:rFonts w:eastAsia="Calibri" w:cs="Arial" w:ascii="Times New Roman" w:hAnsi="Times New Roman"/>
          <w:color w:val="000000"/>
          <w:kern w:val="0"/>
          <w:sz w:val="24"/>
          <w:szCs w:val="24"/>
          <w:lang w:val="pt-BR" w:eastAsia="pt-BR" w:bidi="ar-SA"/>
        </w:rPr>
        <w:t>- Abastecimento contínuo: Ao optar pelo fornecimento a granel em um reservatório P190, é possível garantir um suprimento constante de gás, eliminando a necessidade de troca frequente de botijões e garantindo que não ocorra interrupção nas operações da cozinha.</w:t>
      </w:r>
    </w:p>
    <w:p>
      <w:pPr>
        <w:pStyle w:val="Normal"/>
        <w:widowControl/>
        <w:bidi w:val="0"/>
        <w:spacing w:lineRule="auto" w:line="240" w:before="0" w:after="0"/>
        <w:ind w:left="0" w:right="0" w:firstLine="850"/>
        <w:contextualSpacing/>
        <w:jc w:val="both"/>
        <w:rPr/>
      </w:pPr>
      <w:r>
        <w:rPr>
          <w:rFonts w:eastAsia="Calibri" w:cs="Arial" w:ascii="Times New Roman" w:hAnsi="Times New Roman"/>
          <w:color w:val="000000"/>
          <w:kern w:val="0"/>
          <w:sz w:val="24"/>
          <w:szCs w:val="24"/>
          <w:lang w:val="pt-BR" w:eastAsia="pt-BR" w:bidi="ar-SA"/>
        </w:rPr>
        <w:t>- Eficiência logística: O fornecimento a granel reduz a necessidade de transporte de botijões individuais, o que pode ser especialmente benéfico em áreas de difícil acesso ou em locais com operações militares em andamento.</w:t>
      </w:r>
    </w:p>
    <w:p>
      <w:pPr>
        <w:pStyle w:val="Normal"/>
        <w:widowControl/>
        <w:bidi w:val="0"/>
        <w:spacing w:lineRule="auto" w:line="240" w:before="0" w:after="0"/>
        <w:ind w:left="0" w:right="0" w:firstLine="850"/>
        <w:contextualSpacing/>
        <w:jc w:val="both"/>
        <w:rPr/>
      </w:pPr>
      <w:r>
        <w:rPr>
          <w:rFonts w:eastAsia="Calibri" w:cs="Arial" w:ascii="Times New Roman" w:hAnsi="Times New Roman"/>
          <w:color w:val="000000"/>
          <w:kern w:val="0"/>
          <w:sz w:val="24"/>
          <w:szCs w:val="24"/>
          <w:lang w:val="pt-BR" w:eastAsia="pt-BR" w:bidi="ar-SA"/>
        </w:rPr>
        <w:t>- Monitoramento do consumo: Com um reservatório P190, é possível implementar sistemas de monitoramento que permitem controlar o consumo de gás de forma mais precisa e programar recargas no momento adequado.</w:t>
      </w:r>
    </w:p>
    <w:p>
      <w:pPr>
        <w:pStyle w:val="Normal"/>
        <w:widowControl/>
        <w:bidi w:val="0"/>
        <w:spacing w:lineRule="auto" w:line="240" w:before="0" w:after="0"/>
        <w:ind w:left="0" w:right="0" w:firstLine="850"/>
        <w:contextualSpacing/>
        <w:jc w:val="both"/>
        <w:rPr/>
      </w:pPr>
      <w:r>
        <w:rPr>
          <w:rFonts w:cs="Arial" w:ascii="Times New Roman" w:hAnsi="Times New Roman"/>
          <w:sz w:val="24"/>
          <w:szCs w:val="24"/>
        </w:rPr>
        <w:t xml:space="preserve">No tocante ao tipo de solução, cabe destacar que </w:t>
      </w:r>
      <w:r>
        <w:rPr>
          <w:rFonts w:eastAsia="Calibri" w:cs="Arial" w:ascii="Times New Roman" w:hAnsi="Times New Roman"/>
          <w:color w:val="000000"/>
          <w:kern w:val="0"/>
          <w:sz w:val="24"/>
          <w:szCs w:val="24"/>
          <w:lang w:val="pt-BR" w:eastAsia="pt-BR" w:bidi="ar-SA"/>
        </w:rPr>
        <w:t>a atual</w:t>
      </w:r>
      <w:r>
        <w:rPr>
          <w:rFonts w:cs="Arial" w:ascii="Times New Roman" w:hAnsi="Times New Roman"/>
          <w:sz w:val="24"/>
          <w:szCs w:val="24"/>
        </w:rPr>
        <w:t xml:space="preserve"> Ata de Registro de Preços </w:t>
      </w:r>
      <w:r>
        <w:rPr>
          <w:rFonts w:eastAsia="Calibri" w:cs="Arial" w:ascii="Times New Roman" w:hAnsi="Times New Roman"/>
          <w:color w:val="000000"/>
          <w:kern w:val="0"/>
          <w:sz w:val="24"/>
          <w:szCs w:val="24"/>
          <w:lang w:val="pt-BR" w:eastAsia="pt-BR" w:bidi="ar-SA"/>
        </w:rPr>
        <w:t>da OM terá seu prazo de vigência exaurido em julho do corrente ano</w:t>
      </w:r>
      <w:r>
        <w:rPr>
          <w:rFonts w:eastAsia="Calibri" w:cs="Arial" w:ascii="Times New Roman" w:hAnsi="Times New Roman"/>
          <w:color w:val="CE181E"/>
          <w:kern w:val="0"/>
          <w:sz w:val="24"/>
          <w:szCs w:val="24"/>
          <w:lang w:val="pt-BR" w:eastAsia="pt-BR" w:bidi="ar-SA"/>
        </w:rPr>
        <w:t>.</w:t>
      </w:r>
    </w:p>
    <w:p>
      <w:pPr>
        <w:pStyle w:val="Normal"/>
        <w:widowControl/>
        <w:bidi w:val="0"/>
        <w:spacing w:lineRule="auto" w:line="240" w:before="0" w:after="0"/>
        <w:ind w:left="0" w:right="0" w:firstLine="850"/>
        <w:contextualSpacing/>
        <w:jc w:val="both"/>
        <w:rPr/>
      </w:pPr>
      <w:r>
        <w:rPr>
          <w:rFonts w:cs="Arial" w:ascii="Times New Roman" w:hAnsi="Times New Roman"/>
          <w:sz w:val="24"/>
          <w:szCs w:val="24"/>
        </w:rPr>
        <w:t xml:space="preserve">Sendo assim, foi definido como solução o registro de preços, tendo em vista que após a assinatura da Ata de </w:t>
      </w:r>
      <w:r>
        <w:rPr>
          <w:rFonts w:eastAsia="Calibri" w:cs="Arial" w:ascii="Times New Roman" w:hAnsi="Times New Roman"/>
          <w:color w:val="000000"/>
          <w:kern w:val="0"/>
          <w:sz w:val="24"/>
          <w:szCs w:val="24"/>
          <w:lang w:val="pt-BR" w:eastAsia="pt-BR" w:bidi="ar-SA"/>
        </w:rPr>
        <w:t>R</w:t>
      </w:r>
      <w:r>
        <w:rPr>
          <w:rFonts w:cs="Arial" w:ascii="Times New Roman" w:hAnsi="Times New Roman"/>
          <w:sz w:val="24"/>
          <w:szCs w:val="24"/>
        </w:rPr>
        <w:t>egistro de Preços poderão ser realizadas contratações a qualquer momento, adquirindo-se apenas as quantidades necessárias e nas ocasiões próprias.</w:t>
      </w:r>
    </w:p>
    <w:p>
      <w:pPr>
        <w:pStyle w:val="Normal"/>
        <w:widowControl/>
        <w:bidi w:val="0"/>
        <w:spacing w:lineRule="auto" w:line="240" w:before="0" w:after="0"/>
        <w:ind w:left="0" w:right="0" w:firstLine="850"/>
        <w:contextualSpacing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Ttulo1"/>
        <w:spacing w:lineRule="auto" w:line="240" w:before="0" w:after="0"/>
        <w:ind w:left="-5" w:hanging="10"/>
        <w:contextualSpacing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Ttulo1"/>
        <w:spacing w:lineRule="auto" w:line="240" w:before="0" w:after="0"/>
        <w:ind w:left="-5" w:hanging="10"/>
        <w:contextualSpacing/>
        <w:jc w:val="both"/>
        <w:rPr/>
      </w:pPr>
      <w:r>
        <w:rPr>
          <w:rFonts w:cs="Arial" w:ascii="Times New Roman" w:hAnsi="Times New Roman"/>
          <w:sz w:val="24"/>
          <w:szCs w:val="24"/>
        </w:rPr>
        <w:t>6. Descrição da solução como um todo</w:t>
      </w:r>
    </w:p>
    <w:p>
      <w:pPr>
        <w:pStyle w:val="Normal"/>
        <w:widowControl/>
        <w:bidi w:val="0"/>
        <w:spacing w:lineRule="auto" w:line="240" w:before="0" w:after="0"/>
        <w:ind w:left="0" w:right="0" w:firstLine="850"/>
        <w:contextualSpacing/>
        <w:jc w:val="both"/>
        <w:rPr/>
      </w:pPr>
      <w:r>
        <w:rPr>
          <w:rFonts w:cs="Arial" w:ascii="Times New Roman" w:hAnsi="Times New Roman"/>
          <w:sz w:val="24"/>
          <w:szCs w:val="24"/>
        </w:rPr>
        <w:t xml:space="preserve">A descrição da solução como um todo abrange a contratação de empresa para </w:t>
      </w:r>
      <w:r>
        <w:rPr>
          <w:rFonts w:eastAsia="Calibri" w:cs="Arial" w:ascii="Times New Roman" w:hAnsi="Times New Roman"/>
          <w:color w:val="000000"/>
          <w:kern w:val="0"/>
          <w:sz w:val="24"/>
          <w:szCs w:val="24"/>
          <w:lang w:val="pt-BR" w:eastAsia="pt-BR" w:bidi="ar-SA"/>
        </w:rPr>
        <w:t>o fornecimento de GLP para uso no Serviço de Aprovisionamento do 32º BIL Mth por meio do Sistema de Registro de Preços, devendo a ata ter vigência de 12 meses.</w:t>
      </w:r>
    </w:p>
    <w:p>
      <w:pPr>
        <w:pStyle w:val="Normal"/>
        <w:widowControl/>
        <w:bidi w:val="0"/>
        <w:spacing w:lineRule="auto" w:line="240" w:before="0" w:after="0"/>
        <w:ind w:left="0" w:right="0" w:firstLine="850"/>
        <w:contextualSpacing/>
        <w:jc w:val="both"/>
        <w:rPr/>
      </w:pPr>
      <w:r>
        <w:rPr>
          <w:rFonts w:cs="Arial" w:ascii="Times New Roman" w:hAnsi="Times New Roman"/>
          <w:sz w:val="24"/>
          <w:szCs w:val="24"/>
        </w:rPr>
        <w:t xml:space="preserve"> </w:t>
      </w:r>
      <w:r>
        <w:rPr>
          <w:rFonts w:cs="Arial" w:ascii="Times New Roman" w:hAnsi="Times New Roman"/>
          <w:sz w:val="24"/>
          <w:szCs w:val="24"/>
        </w:rPr>
        <w:t>Fica assim estabelecida a condição adequada para alcance dos objetivos traçados, balizados pela economia e pelo uso consciente dos insumos adquiridos na esfera da Administração Pública.</w:t>
      </w:r>
    </w:p>
    <w:p>
      <w:pPr>
        <w:pStyle w:val="Normal"/>
        <w:widowControl/>
        <w:bidi w:val="0"/>
        <w:spacing w:lineRule="auto" w:line="240" w:before="0" w:after="0"/>
        <w:ind w:left="0" w:right="0" w:firstLine="850"/>
        <w:contextualSpacing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Normal"/>
        <w:widowControl/>
        <w:bidi w:val="0"/>
        <w:spacing w:lineRule="auto" w:line="240" w:before="0" w:after="0"/>
        <w:ind w:left="0" w:right="0" w:hanging="0"/>
        <w:contextualSpacing/>
        <w:jc w:val="left"/>
        <w:rPr>
          <w:rFonts w:ascii="Times New Roman" w:hAnsi="Times New Roman" w:cs="Arial"/>
          <w:b/>
          <w:b/>
          <w:bCs/>
          <w:sz w:val="24"/>
          <w:szCs w:val="24"/>
        </w:rPr>
      </w:pPr>
      <w:r>
        <w:rPr>
          <w:rFonts w:cs="Arial" w:ascii="Times New Roman" w:hAnsi="Times New Roman"/>
          <w:b/>
          <w:bCs/>
          <w:sz w:val="24"/>
          <w:szCs w:val="24"/>
        </w:rPr>
      </w:r>
    </w:p>
    <w:p>
      <w:pPr>
        <w:pStyle w:val="Normal"/>
        <w:widowControl/>
        <w:bidi w:val="0"/>
        <w:spacing w:lineRule="auto" w:line="240" w:before="0" w:after="0"/>
        <w:ind w:left="0" w:right="0" w:hanging="0"/>
        <w:contextualSpacing/>
        <w:jc w:val="left"/>
        <w:rPr/>
      </w:pPr>
      <w:r>
        <w:rPr>
          <w:rFonts w:cs="Arial" w:ascii="Times New Roman" w:hAnsi="Times New Roman"/>
          <w:b/>
          <w:bCs/>
          <w:sz w:val="24"/>
          <w:szCs w:val="24"/>
        </w:rPr>
        <w:t xml:space="preserve"> </w:t>
      </w:r>
      <w:r>
        <w:rPr>
          <w:rFonts w:cs="Arial" w:ascii="Times New Roman" w:hAnsi="Times New Roman"/>
          <w:b/>
          <w:bCs/>
          <w:sz w:val="24"/>
          <w:szCs w:val="24"/>
        </w:rPr>
        <w:t>7. Estimativa das Quantidades a serem Contratadas</w:t>
      </w:r>
    </w:p>
    <w:p>
      <w:pPr>
        <w:pStyle w:val="Normal"/>
        <w:widowControl/>
        <w:bidi w:val="0"/>
        <w:spacing w:lineRule="auto" w:line="240" w:before="0" w:after="0"/>
        <w:ind w:left="0" w:right="0" w:firstLine="850"/>
        <w:contextualSpacing/>
        <w:jc w:val="both"/>
        <w:rPr/>
      </w:pPr>
      <w:r>
        <w:rPr>
          <w:rFonts w:cs="Arial" w:ascii="Times New Roman" w:hAnsi="Times New Roman"/>
          <w:sz w:val="24"/>
          <w:szCs w:val="24"/>
        </w:rPr>
        <w:t>Para estimar as quantidades, foi realizad</w:t>
      </w:r>
      <w:r>
        <w:rPr>
          <w:rFonts w:eastAsia="Calibri" w:cs="Arial" w:ascii="Times New Roman" w:hAnsi="Times New Roman"/>
          <w:color w:val="000000"/>
          <w:kern w:val="0"/>
          <w:sz w:val="24"/>
          <w:szCs w:val="24"/>
          <w:lang w:val="pt-BR" w:eastAsia="pt-BR" w:bidi="ar-SA"/>
        </w:rPr>
        <w:t>a a consulta do histórico de consumo dos últimos 24 meses, adicionando-se margem para antever possíveis operações não previstas no período deste estudo.</w:t>
      </w:r>
    </w:p>
    <w:p>
      <w:pPr>
        <w:pStyle w:val="Normal"/>
        <w:widowControl/>
        <w:bidi w:val="0"/>
        <w:spacing w:lineRule="auto" w:line="240" w:before="0" w:after="0"/>
        <w:ind w:left="0" w:right="0" w:firstLine="850"/>
        <w:contextualSpacing/>
        <w:jc w:val="both"/>
        <w:rPr>
          <w:rFonts w:ascii="Times New Roman" w:hAnsi="Times New Roman" w:eastAsia="Calibri" w:cs="Arial"/>
          <w:color w:val="000000"/>
          <w:kern w:val="0"/>
          <w:sz w:val="24"/>
          <w:szCs w:val="24"/>
          <w:lang w:val="pt-BR" w:eastAsia="pt-BR" w:bidi="ar-SA"/>
        </w:rPr>
      </w:pPr>
      <w:r>
        <w:rPr>
          <w:rFonts w:eastAsia="Calibri" w:cs="Arial" w:ascii="Times New Roman" w:hAnsi="Times New Roman"/>
          <w:color w:val="000000"/>
          <w:kern w:val="0"/>
          <w:sz w:val="24"/>
          <w:szCs w:val="24"/>
          <w:lang w:val="pt-BR" w:eastAsia="pt-BR" w:bidi="ar-SA"/>
        </w:rPr>
      </w:r>
    </w:p>
    <w:p>
      <w:pPr>
        <w:pStyle w:val="Normal"/>
        <w:widowControl/>
        <w:bidi w:val="0"/>
        <w:spacing w:lineRule="auto" w:line="240" w:before="0" w:after="0"/>
        <w:ind w:left="0" w:right="0" w:firstLine="850"/>
        <w:contextualSpacing/>
        <w:jc w:val="both"/>
        <w:rPr>
          <w:rFonts w:ascii="Times New Roman" w:hAnsi="Times New Roman" w:eastAsia="Calibri" w:cs="Arial"/>
          <w:color w:val="000000"/>
          <w:kern w:val="0"/>
          <w:sz w:val="24"/>
          <w:szCs w:val="24"/>
          <w:lang w:val="pt-BR" w:eastAsia="pt-BR" w:bidi="ar-SA"/>
        </w:rPr>
      </w:pPr>
      <w:r>
        <w:rPr>
          <w:rFonts w:eastAsia="Calibri" w:cs="Arial" w:ascii="Times New Roman" w:hAnsi="Times New Roman"/>
          <w:color w:val="000000"/>
          <w:kern w:val="0"/>
          <w:sz w:val="24"/>
          <w:szCs w:val="24"/>
          <w:lang w:val="pt-BR" w:eastAsia="pt-BR" w:bidi="ar-SA"/>
        </w:rPr>
      </w:r>
    </w:p>
    <w:p>
      <w:pPr>
        <w:pStyle w:val="Ttulo1"/>
        <w:spacing w:lineRule="auto" w:line="240" w:before="0" w:after="0"/>
        <w:ind w:left="-5" w:hanging="10"/>
        <w:contextualSpacing/>
        <w:jc w:val="both"/>
        <w:rPr/>
      </w:pPr>
      <w:r>
        <w:rPr>
          <w:rFonts w:cs="Arial" w:ascii="Times New Roman" w:hAnsi="Times New Roman"/>
          <w:sz w:val="24"/>
          <w:szCs w:val="24"/>
        </w:rPr>
        <w:t>8. Estimativa do Valor da Contratação</w:t>
      </w:r>
    </w:p>
    <w:p>
      <w:pPr>
        <w:pStyle w:val="Corpodotexto"/>
        <w:widowControl/>
        <w:bidi w:val="0"/>
        <w:spacing w:lineRule="auto" w:line="240" w:before="0" w:after="140"/>
        <w:ind w:left="0" w:right="0" w:firstLine="850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4"/>
          <w:szCs w:val="24"/>
          <w:shd w:fill="auto" w:val="clear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  <w:shd w:fill="auto" w:val="clear"/>
        </w:rPr>
        <w:t>No presente processo licitatório os valores estimados foram definidos com base no melhor preço aferido por meio da utilização dos seguintes parâmetros:</w:t>
      </w:r>
    </w:p>
    <w:p>
      <w:pPr>
        <w:pStyle w:val="Corpodotexto"/>
        <w:widowControl/>
        <w:suppressAutoHyphens w:val="true"/>
        <w:bidi w:val="0"/>
        <w:spacing w:lineRule="auto" w:line="240" w:before="0" w:after="140"/>
        <w:ind w:left="0" w:right="0" w:firstLine="850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4"/>
          <w:szCs w:val="24"/>
          <w:shd w:fill="auto" w:val="clear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  <w:shd w:fill="auto" w:val="clear"/>
        </w:rPr>
        <w:t>1) Custos unitários menores ou iguais à mediana do item correspondente no painel para consulta de preços no Portal Nacional de Contratações Públicas (PNCP); e</w:t>
      </w:r>
    </w:p>
    <w:p>
      <w:pPr>
        <w:pStyle w:val="Corpodotexto"/>
        <w:widowControl/>
        <w:suppressAutoHyphens w:val="true"/>
        <w:bidi w:val="0"/>
        <w:spacing w:lineRule="auto" w:line="240" w:before="0" w:after="0"/>
        <w:ind w:left="0" w:right="0" w:firstLine="850"/>
        <w:contextualSpacing/>
        <w:jc w:val="both"/>
        <w:rPr>
          <w:rFonts w:ascii="Arial;sans-serif" w:hAnsi="Arial;sans-serif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0"/>
          <w:shd w:fill="auto" w:val="clear"/>
        </w:rPr>
      </w:pPr>
      <w:r>
        <w:rPr>
          <w:rFonts w:cs="Arial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  <w:shd w:fill="auto" w:val="clear"/>
        </w:rPr>
        <w:t xml:space="preserve">2) Levantamento de Preços de Combustíveis (LPC), divulgado pela Agência Nacional do Petróleo </w:t>
      </w:r>
      <w:r>
        <w:rPr>
          <w:rFonts w:eastAsia="DejaVu Sans" w:cs="Arial"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kern w:val="2"/>
          <w:sz w:val="24"/>
          <w:szCs w:val="24"/>
          <w:shd w:fill="auto" w:val="clear"/>
        </w:rPr>
        <w:t>(</w:t>
      </w:r>
      <w:hyperlink r:id="rId2" w:tgtFrame="_self">
        <w:r>
          <w:rPr>
            <w:rStyle w:val="LinkdaInternet"/>
            <w:rFonts w:eastAsia="DejaVu Sans" w:cs="Arial" w:ascii="Times New Roman" w:hAnsi="Times New Roman"/>
            <w:b w:val="false"/>
            <w:bCs w:val="false"/>
            <w:i w:val="false"/>
            <w:caps w:val="false"/>
            <w:smallCaps w:val="false"/>
            <w:strike w:val="false"/>
            <w:dstrike w:val="false"/>
            <w:color w:val="000000"/>
            <w:spacing w:val="0"/>
            <w:kern w:val="2"/>
            <w:sz w:val="24"/>
            <w:szCs w:val="24"/>
            <w:u w:val="none"/>
            <w:effect w:val="none"/>
            <w:shd w:fill="auto" w:val="clear"/>
          </w:rPr>
          <w:t>Lei nº 9478/1997</w:t>
        </w:r>
      </w:hyperlink>
      <w:r>
        <w:rPr>
          <w:rFonts w:eastAsia="DejaVu Sans" w:cs="Arial"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kern w:val="2"/>
          <w:sz w:val="24"/>
          <w:szCs w:val="24"/>
          <w:shd w:fill="auto" w:val="clear"/>
        </w:rPr>
        <w:t>, artigo</w:t>
      </w:r>
      <w:r>
        <w:rPr>
          <w:rFonts w:eastAsia="DejaVu Sans" w:cs="Arial" w:ascii="Times New Roman" w:hAnsi="Times New Roman"/>
          <w:b w:val="false"/>
          <w:i w:val="false"/>
          <w:caps w:val="false"/>
          <w:smallCaps w:val="false"/>
          <w:color w:val="000000"/>
          <w:spacing w:val="0"/>
          <w:kern w:val="2"/>
          <w:sz w:val="24"/>
          <w:szCs w:val="24"/>
          <w:shd w:fill="auto" w:val="clear"/>
        </w:rPr>
        <w:t xml:space="preserve"> 8º)</w:t>
      </w:r>
      <w:r>
        <w:rPr>
          <w:rFonts w:cs="Arial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  <w:shd w:fill="auto" w:val="clear"/>
        </w:rPr>
        <w:t>, onde foi obtido o preço médio</w:t>
      </w:r>
      <w:r>
        <w:rPr>
          <w:rFonts w:eastAsia="DejaVu Sans" w:cs="Arial" w:ascii="Times New Roman" w:hAnsi="Times New Roman"/>
          <w:b w:val="false"/>
          <w:i w:val="false"/>
          <w:caps w:val="false"/>
          <w:smallCaps w:val="false"/>
          <w:color w:val="000000"/>
          <w:spacing w:val="0"/>
          <w:kern w:val="2"/>
          <w:sz w:val="24"/>
          <w:szCs w:val="24"/>
          <w:shd w:fill="auto" w:val="clear"/>
        </w:rPr>
        <w:t xml:space="preserve"> praticado por revendedores de gás liquefeito de petróleo envasilhado em botijões de 13 quilos (GLP P13). Os demais tipos de reservatórios não possuem este levantamento de preços.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firstLine="850"/>
        <w:contextualSpacing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left="0" w:hanging="0"/>
        <w:contextualSpacing/>
        <w:jc w:val="both"/>
        <w:rPr>
          <w:shd w:fill="auto" w:val="clear"/>
        </w:rPr>
      </w:pPr>
      <w:r>
        <w:rPr>
          <w:rFonts w:cs="Arial" w:ascii="Times New Roman" w:hAnsi="Times New Roman"/>
          <w:b/>
          <w:sz w:val="24"/>
          <w:szCs w:val="24"/>
          <w:shd w:fill="auto" w:val="clear"/>
        </w:rPr>
        <w:t xml:space="preserve">Valor máximo estimado: </w:t>
      </w:r>
      <w:r>
        <w:rPr>
          <w:rFonts w:eastAsia="Arial" w:cs="Arial" w:ascii="Times New Roman" w:hAnsi="Times New Roman"/>
          <w:b/>
          <w:bCs/>
          <w:color w:val="000000"/>
          <w:kern w:val="0"/>
          <w:sz w:val="24"/>
          <w:szCs w:val="24"/>
          <w:shd w:fill="auto" w:val="clear"/>
          <w:lang w:val="pt-BR" w:eastAsia="pt-BR" w:bidi="ar-SA"/>
        </w:rPr>
        <w:t xml:space="preserve">R$ </w:t>
      </w:r>
      <w:r>
        <w:rPr>
          <w:rFonts w:eastAsia="Arial" w:ascii="Times New Roman" w:hAnsi="Times New Roman"/>
          <w:b/>
          <w:bCs/>
          <w:color w:val="000000"/>
          <w:sz w:val="24"/>
          <w:szCs w:val="24"/>
        </w:rPr>
        <w:t>153.938,00</w:t>
      </w:r>
    </w:p>
    <w:p>
      <w:pPr>
        <w:pStyle w:val="Normal"/>
        <w:spacing w:lineRule="auto" w:line="240" w:before="0" w:after="0"/>
        <w:ind w:left="0" w:hanging="0"/>
        <w:contextualSpacing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Ttulo1"/>
        <w:spacing w:lineRule="auto" w:line="240" w:before="0" w:after="0"/>
        <w:ind w:left="-5" w:hanging="10"/>
        <w:contextualSpacing/>
        <w:jc w:val="both"/>
        <w:rPr/>
      </w:pPr>
      <w:r>
        <w:rPr>
          <w:rFonts w:cs="Arial" w:ascii="Times New Roman" w:hAnsi="Times New Roman"/>
          <w:sz w:val="24"/>
          <w:szCs w:val="24"/>
        </w:rPr>
        <w:t>9. Justificativa para o Parcelamento ou não da Solução</w:t>
      </w:r>
    </w:p>
    <w:p>
      <w:pPr>
        <w:pStyle w:val="Normal"/>
        <w:widowControl/>
        <w:bidi w:val="0"/>
        <w:spacing w:lineRule="auto" w:line="240" w:before="0" w:after="0"/>
        <w:ind w:left="0" w:right="0" w:firstLine="850"/>
        <w:contextualSpacing/>
        <w:jc w:val="both"/>
        <w:rPr/>
      </w:pPr>
      <w:r>
        <w:rPr>
          <w:rFonts w:cs="Arial" w:ascii="Times New Roman" w:hAnsi="Times New Roman"/>
          <w:sz w:val="24"/>
          <w:szCs w:val="24"/>
        </w:rPr>
        <w:t xml:space="preserve">Propõe-se que a licitação seja realizada com a adoção do critério “Menor Preço por </w:t>
      </w:r>
      <w:r>
        <w:rPr>
          <w:rFonts w:eastAsia="Calibri" w:cs="Arial" w:ascii="Times New Roman" w:hAnsi="Times New Roman"/>
          <w:color w:val="000000"/>
          <w:kern w:val="0"/>
          <w:sz w:val="24"/>
          <w:szCs w:val="24"/>
          <w:lang w:val="pt-BR" w:eastAsia="pt-BR" w:bidi="ar-SA"/>
        </w:rPr>
        <w:t>I</w:t>
      </w:r>
      <w:r>
        <w:rPr>
          <w:rFonts w:cs="Arial" w:ascii="Times New Roman" w:hAnsi="Times New Roman"/>
          <w:sz w:val="24"/>
          <w:szCs w:val="24"/>
        </w:rPr>
        <w:t>tem”. Ressalta-se que a adoção desse critério de julgamento, no presente caso, amplia a participação dos interessados e a competitividade esperada no certame licitatório, tendo em vista que o parcelamento aumenta a economia de escala, ou seja, diversos fornecedores poderão competir para o fornecimento dos itens nas mesmas condições de igualdade.</w:t>
      </w:r>
    </w:p>
    <w:p>
      <w:pPr>
        <w:pStyle w:val="Ttulo1"/>
        <w:spacing w:lineRule="auto" w:line="240" w:before="0" w:after="0"/>
        <w:ind w:left="-5" w:hanging="10"/>
        <w:contextualSpacing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Ttulo1"/>
        <w:spacing w:lineRule="auto" w:line="240" w:before="0" w:after="0"/>
        <w:ind w:left="-5" w:hanging="10"/>
        <w:contextualSpacing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Ttulo1"/>
        <w:spacing w:lineRule="auto" w:line="240" w:before="0" w:after="0"/>
        <w:ind w:left="-5" w:hanging="10"/>
        <w:contextualSpacing/>
        <w:jc w:val="both"/>
        <w:rPr/>
      </w:pPr>
      <w:r>
        <w:rPr>
          <w:rFonts w:cs="Arial" w:ascii="Times New Roman" w:hAnsi="Times New Roman"/>
          <w:sz w:val="24"/>
          <w:szCs w:val="24"/>
        </w:rPr>
        <w:t>10. Contratações Correlatas e/ou Interdependentes</w:t>
      </w:r>
    </w:p>
    <w:p>
      <w:pPr>
        <w:pStyle w:val="Ttulo1"/>
        <w:keepNext w:val="true"/>
        <w:keepLines/>
        <w:widowControl/>
        <w:numPr>
          <w:ilvl w:val="0"/>
          <w:numId w:val="0"/>
        </w:numPr>
        <w:bidi w:val="0"/>
        <w:spacing w:lineRule="auto" w:line="240" w:before="0" w:after="0"/>
        <w:ind w:left="0" w:right="0" w:firstLine="850"/>
        <w:contextualSpacing/>
        <w:jc w:val="both"/>
        <w:outlineLvl w:val="0"/>
        <w:rPr/>
      </w:pPr>
      <w:r>
        <w:rPr>
          <w:rFonts w:cs="Arial" w:ascii="Times New Roman" w:hAnsi="Times New Roman"/>
          <w:b w:val="false"/>
          <w:sz w:val="24"/>
          <w:szCs w:val="24"/>
        </w:rPr>
        <w:t xml:space="preserve">No escopo deste estudo como um todo, não se vislumbra como necessário proceder a outras contratações para se atingir o fim almejado, uma vez que </w:t>
      </w:r>
      <w:r>
        <w:rPr>
          <w:rFonts w:eastAsia="Calibri" w:cs="Arial" w:ascii="Times New Roman" w:hAnsi="Times New Roman"/>
          <w:b w:val="false"/>
          <w:color w:val="000000"/>
          <w:kern w:val="0"/>
          <w:sz w:val="24"/>
          <w:szCs w:val="24"/>
          <w:lang w:val="pt-BR" w:eastAsia="pt-BR" w:bidi="ar-SA"/>
        </w:rPr>
        <w:t>o fornecedor realizará a entrega do produto no local, onde já se encontra instalado o sistema de gás, necessitando, somente, da disponibilização dos reservatórios em sistema de comodato.</w:t>
      </w:r>
    </w:p>
    <w:p>
      <w:pPr>
        <w:pStyle w:val="Ttulo1"/>
        <w:spacing w:lineRule="auto" w:line="240" w:before="0" w:after="0"/>
        <w:ind w:left="-5" w:hanging="10"/>
        <w:contextualSpacing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Ttulo1"/>
        <w:spacing w:lineRule="auto" w:line="240" w:before="0" w:after="0"/>
        <w:ind w:left="-5" w:hanging="10"/>
        <w:contextualSpacing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Ttulo1"/>
        <w:spacing w:lineRule="auto" w:line="240" w:before="0" w:after="0"/>
        <w:ind w:left="-5" w:hanging="10"/>
        <w:contextualSpacing/>
        <w:jc w:val="both"/>
        <w:rPr/>
      </w:pPr>
      <w:r>
        <w:rPr>
          <w:rFonts w:cs="Arial" w:ascii="Times New Roman" w:hAnsi="Times New Roman"/>
          <w:sz w:val="24"/>
          <w:szCs w:val="24"/>
        </w:rPr>
        <w:t>11. Alinhamento entre a Contratação e o Planejamento</w:t>
      </w:r>
    </w:p>
    <w:p>
      <w:pPr>
        <w:pStyle w:val="Normal"/>
        <w:widowControl/>
        <w:bidi w:val="0"/>
        <w:spacing w:lineRule="auto" w:line="240" w:before="0" w:after="0"/>
        <w:ind w:left="0" w:right="57" w:firstLine="850"/>
        <w:contextualSpacing/>
        <w:jc w:val="both"/>
        <w:rPr/>
      </w:pPr>
      <w:r>
        <w:rPr>
          <w:rFonts w:cs="Arial" w:ascii="Times New Roman" w:hAnsi="Times New Roman"/>
          <w:sz w:val="24"/>
          <w:szCs w:val="24"/>
        </w:rPr>
        <w:t>A contratação está prevista no Plano Anual de Contratações desta Unidade Gerenciadora, baseando nos objetivos apontados no Plano de Gestão.</w:t>
      </w:r>
    </w:p>
    <w:p>
      <w:pPr>
        <w:pStyle w:val="Ttulo1"/>
        <w:spacing w:lineRule="auto" w:line="240" w:before="0" w:after="0"/>
        <w:ind w:left="-5" w:hanging="10"/>
        <w:contextualSpacing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Ttulo1"/>
        <w:spacing w:lineRule="auto" w:line="240" w:before="0" w:after="0"/>
        <w:ind w:left="-5" w:hanging="10"/>
        <w:contextualSpacing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Ttulo1"/>
        <w:spacing w:lineRule="auto" w:line="240" w:before="0" w:after="0"/>
        <w:ind w:left="-5" w:hanging="10"/>
        <w:contextualSpacing/>
        <w:jc w:val="both"/>
        <w:rPr/>
      </w:pPr>
      <w:r>
        <w:rPr>
          <w:rFonts w:cs="Arial" w:ascii="Times New Roman" w:hAnsi="Times New Roman"/>
          <w:sz w:val="24"/>
          <w:szCs w:val="24"/>
        </w:rPr>
        <w:t>12. Benefícios a serem alcançados com a contratação</w:t>
      </w:r>
    </w:p>
    <w:p>
      <w:pPr>
        <w:pStyle w:val="Normal"/>
        <w:spacing w:lineRule="auto" w:line="240" w:before="0" w:after="0"/>
        <w:ind w:left="380" w:right="45" w:hanging="10"/>
        <w:contextualSpacing/>
        <w:jc w:val="both"/>
        <w:rPr>
          <w:rFonts w:ascii="Times New Roman" w:hAnsi="Times New Roman" w:eastAsia="Calibri" w:cs="Arial"/>
          <w:color w:val="000000"/>
          <w:kern w:val="0"/>
          <w:sz w:val="24"/>
          <w:szCs w:val="24"/>
          <w:lang w:val="pt-BR" w:eastAsia="pt-BR" w:bidi="ar-SA"/>
        </w:rPr>
      </w:pPr>
      <w:r>
        <w:rPr>
          <w:rFonts w:eastAsia="Calibri" w:cs="Arial" w:ascii="Times New Roman" w:hAnsi="Times New Roman"/>
          <w:color w:val="000000"/>
          <w:kern w:val="0"/>
          <w:sz w:val="24"/>
          <w:szCs w:val="24"/>
          <w:lang w:val="pt-BR" w:eastAsia="pt-BR" w:bidi="ar-SA"/>
        </w:rPr>
        <w:t>Continuidade do Serviço de Aprovisionamento da OM.</w:t>
      </w:r>
    </w:p>
    <w:p>
      <w:pPr>
        <w:pStyle w:val="Normal"/>
        <w:spacing w:lineRule="auto" w:line="240" w:before="0" w:after="0"/>
        <w:ind w:left="405" w:hanging="405"/>
        <w:contextualSpacing/>
        <w:jc w:val="both"/>
        <w:rPr>
          <w:rFonts w:ascii="Times New Roman" w:hAnsi="Times New Roman" w:cs="Arial"/>
          <w:b/>
          <w:b/>
          <w:sz w:val="24"/>
          <w:szCs w:val="24"/>
        </w:rPr>
      </w:pPr>
      <w:r>
        <w:rPr>
          <w:rFonts w:cs="Arial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ind w:left="405" w:hanging="405"/>
        <w:contextualSpacing/>
        <w:jc w:val="both"/>
        <w:rPr>
          <w:rFonts w:ascii="Times New Roman" w:hAnsi="Times New Roman" w:cs="Arial"/>
          <w:b/>
          <w:b/>
          <w:sz w:val="24"/>
          <w:szCs w:val="24"/>
        </w:rPr>
      </w:pPr>
      <w:r>
        <w:rPr>
          <w:rFonts w:cs="Arial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1"/>
        </w:numPr>
        <w:spacing w:lineRule="auto" w:line="240" w:before="0" w:after="0"/>
        <w:ind w:left="405" w:hanging="405"/>
        <w:contextualSpacing/>
        <w:jc w:val="both"/>
        <w:rPr/>
      </w:pPr>
      <w:r>
        <w:rPr>
          <w:rFonts w:cs="Arial" w:ascii="Times New Roman" w:hAnsi="Times New Roman"/>
          <w:b/>
          <w:sz w:val="24"/>
          <w:szCs w:val="24"/>
        </w:rPr>
        <w:t>Providências a serem adotadas</w:t>
      </w:r>
    </w:p>
    <w:p>
      <w:pPr>
        <w:pStyle w:val="Normal"/>
        <w:widowControl/>
        <w:bidi w:val="0"/>
        <w:spacing w:lineRule="auto" w:line="240" w:before="0" w:after="0"/>
        <w:ind w:left="0" w:right="0" w:firstLine="850"/>
        <w:contextualSpacing/>
        <w:jc w:val="both"/>
        <w:rPr>
          <w:rFonts w:ascii="Times New Roman" w:hAnsi="Times New Roman" w:eastAsia="Calibri" w:cs="Arial"/>
          <w:color w:val="000000"/>
          <w:kern w:val="0"/>
          <w:sz w:val="24"/>
          <w:szCs w:val="24"/>
          <w:lang w:val="pt-BR" w:eastAsia="pt-BR" w:bidi="ar-SA"/>
        </w:rPr>
      </w:pPr>
      <w:r>
        <w:rPr>
          <w:rFonts w:eastAsia="Calibri" w:cs="Arial" w:ascii="Times New Roman" w:hAnsi="Times New Roman"/>
          <w:color w:val="000000"/>
          <w:kern w:val="0"/>
          <w:sz w:val="24"/>
          <w:szCs w:val="24"/>
          <w:lang w:val="pt-BR" w:eastAsia="pt-BR" w:bidi="ar-SA"/>
        </w:rPr>
        <w:t>Deverá ser elaborado contrato para o fornecimento do produto, bem como, contrato para reger a disponibilidade dos reservatórios sob regime de comodato, sem custo para a Administração.</w:t>
      </w:r>
    </w:p>
    <w:p>
      <w:pPr>
        <w:pStyle w:val="Normal"/>
        <w:widowControl/>
        <w:bidi w:val="0"/>
        <w:spacing w:lineRule="auto" w:line="240" w:before="0" w:after="0"/>
        <w:ind w:left="0" w:right="0" w:firstLine="850"/>
        <w:contextualSpacing/>
        <w:jc w:val="both"/>
        <w:rPr>
          <w:rFonts w:ascii="Times New Roman" w:hAnsi="Times New Roman" w:eastAsia="Calibri" w:cs="Arial"/>
          <w:color w:val="000000"/>
          <w:kern w:val="0"/>
          <w:sz w:val="24"/>
          <w:szCs w:val="24"/>
          <w:lang w:val="pt-BR" w:eastAsia="pt-BR" w:bidi="ar-SA"/>
        </w:rPr>
      </w:pPr>
      <w:r>
        <w:rPr>
          <w:rFonts w:eastAsia="Calibri" w:cs="Arial" w:ascii="Times New Roman" w:hAnsi="Times New Roman"/>
          <w:color w:val="000000"/>
          <w:kern w:val="0"/>
          <w:sz w:val="24"/>
          <w:szCs w:val="24"/>
          <w:lang w:val="pt-BR" w:eastAsia="pt-BR" w:bidi="ar-SA"/>
        </w:rPr>
      </w:r>
    </w:p>
    <w:p>
      <w:pPr>
        <w:pStyle w:val="Normal"/>
        <w:widowControl/>
        <w:bidi w:val="0"/>
        <w:spacing w:lineRule="auto" w:line="240" w:before="0" w:after="0"/>
        <w:ind w:left="0" w:right="0" w:firstLine="850"/>
        <w:contextualSpacing/>
        <w:jc w:val="both"/>
        <w:rPr>
          <w:rFonts w:ascii="Times New Roman" w:hAnsi="Times New Roman" w:eastAsia="Calibri" w:cs="Arial"/>
          <w:color w:val="000000"/>
          <w:kern w:val="0"/>
          <w:sz w:val="24"/>
          <w:szCs w:val="24"/>
          <w:lang w:val="pt-BR" w:eastAsia="pt-BR" w:bidi="ar-SA"/>
        </w:rPr>
      </w:pPr>
      <w:r>
        <w:rPr>
          <w:rFonts w:eastAsia="Calibri" w:cs="Arial" w:ascii="Times New Roman" w:hAnsi="Times New Roman"/>
          <w:color w:val="000000"/>
          <w:kern w:val="0"/>
          <w:sz w:val="24"/>
          <w:szCs w:val="24"/>
          <w:lang w:val="pt-BR" w:eastAsia="pt-BR" w:bidi="ar-SA"/>
        </w:rPr>
      </w:r>
    </w:p>
    <w:p>
      <w:pPr>
        <w:pStyle w:val="Normal"/>
        <w:numPr>
          <w:ilvl w:val="0"/>
          <w:numId w:val="1"/>
        </w:numPr>
        <w:spacing w:lineRule="auto" w:line="240" w:before="0" w:after="0"/>
        <w:ind w:left="405" w:hanging="405"/>
        <w:contextualSpacing/>
        <w:jc w:val="both"/>
        <w:rPr/>
      </w:pPr>
      <w:r>
        <w:rPr>
          <w:rFonts w:cs="Arial" w:ascii="Times New Roman" w:hAnsi="Times New Roman"/>
          <w:b/>
          <w:sz w:val="24"/>
          <w:szCs w:val="24"/>
        </w:rPr>
        <w:t>Possíveis Impactos Ambientais</w:t>
      </w:r>
    </w:p>
    <w:p>
      <w:pPr>
        <w:pStyle w:val="Normal"/>
        <w:widowControl/>
        <w:bidi w:val="0"/>
        <w:spacing w:lineRule="auto" w:line="240" w:before="0" w:after="0"/>
        <w:ind w:left="0" w:right="0" w:firstLine="850"/>
        <w:contextualSpacing/>
        <w:jc w:val="both"/>
        <w:rPr/>
      </w:pPr>
      <w:r>
        <w:rPr>
          <w:rFonts w:cs="Arial" w:ascii="Times New Roman" w:hAnsi="Times New Roman"/>
          <w:sz w:val="24"/>
          <w:szCs w:val="24"/>
        </w:rPr>
        <w:t>A contratação de uma empresa para o fornecimento de gás liquefeito de petróleo (GLP) pode apresentar alguns possíveis impactos ambientais. É importante considerar esses impactos e adotar medidas mitigadoras para minimizá-los. Alguns dos impactos ambientais associados são:</w:t>
      </w:r>
    </w:p>
    <w:p>
      <w:pPr>
        <w:pStyle w:val="Normal"/>
        <w:widowControl/>
        <w:bidi w:val="0"/>
        <w:spacing w:lineRule="auto" w:line="240" w:before="0" w:after="0"/>
        <w:ind w:left="0" w:right="0" w:firstLine="850"/>
        <w:contextualSpacing/>
        <w:jc w:val="both"/>
        <w:rPr/>
      </w:pPr>
      <w:r>
        <w:rPr>
          <w:rFonts w:cs="Arial" w:ascii="Times New Roman" w:hAnsi="Times New Roman"/>
          <w:sz w:val="24"/>
          <w:szCs w:val="24"/>
        </w:rPr>
        <w:t>1. Emissões de gases de efeito estufa: A queima de GLP para o preparo das refeições na cozinha do batalhão resulta na emissão de gases de efeito estufa, como dióxido de carbono (CO2) e óxidos de nitrogênio (NOx). Essas emissões contribuem para o aquecimento global e as mudanças climáticas. Para reduzir esse impacto, pode-se considerar a adoção de tecnologias mais eficientes em termos energéticos e a busca por fontes alternativas de energia mais limpas.</w:t>
      </w:r>
    </w:p>
    <w:p>
      <w:pPr>
        <w:pStyle w:val="Normal"/>
        <w:widowControl/>
        <w:bidi w:val="0"/>
        <w:spacing w:lineRule="auto" w:line="240" w:before="0" w:after="0"/>
        <w:ind w:left="0" w:right="0" w:firstLine="850"/>
        <w:contextualSpacing/>
        <w:jc w:val="both"/>
        <w:rPr/>
      </w:pPr>
      <w:r>
        <w:rPr>
          <w:rFonts w:cs="Arial" w:ascii="Times New Roman" w:hAnsi="Times New Roman"/>
          <w:sz w:val="24"/>
          <w:szCs w:val="24"/>
        </w:rPr>
        <w:t>2. Poluição do ar: A queima de GLP também pode resultar na emissão de poluentes atmosféricos, como monóxido de carbono (CO) e material particulado. Esses poluentes contribuem para a poluição do ar, afetando a qualidade do ar local e potencialmente causando impactos na saúde humana e no meio ambiente. É importante garantir que os equipamentos de queima de GLP estejam em bom estado de conservação e sejam adequadamente ajustados para minimizar as emissões de poluentes.</w:t>
      </w:r>
    </w:p>
    <w:p>
      <w:pPr>
        <w:pStyle w:val="Normal"/>
        <w:widowControl/>
        <w:bidi w:val="0"/>
        <w:spacing w:lineRule="auto" w:line="240" w:before="0" w:after="0"/>
        <w:ind w:left="0" w:right="0" w:firstLine="850"/>
        <w:contextualSpacing/>
        <w:jc w:val="both"/>
        <w:rPr/>
      </w:pPr>
      <w:r>
        <w:rPr>
          <w:rFonts w:cs="Arial" w:ascii="Times New Roman" w:hAnsi="Times New Roman"/>
          <w:sz w:val="24"/>
          <w:szCs w:val="24"/>
        </w:rPr>
        <w:t>3. Gestão de resíduos: A utilização de recipientes de GLP, como botijões, implica na geração de resíduos sólidos. É necessário garantir uma gestão adequada desses resíduos, incluindo sua correta coleta, armazenamento temporário e destinação final. Promover a reciclagem e a reutilização dos recipientes de GLP pode contribuir para a redução do impacto ambiental.</w:t>
      </w:r>
    </w:p>
    <w:p>
      <w:pPr>
        <w:pStyle w:val="Normal"/>
        <w:widowControl/>
        <w:bidi w:val="0"/>
        <w:spacing w:lineRule="auto" w:line="240" w:before="0" w:after="0"/>
        <w:ind w:left="0" w:right="0" w:firstLine="850"/>
        <w:contextualSpacing/>
        <w:jc w:val="both"/>
        <w:rPr/>
      </w:pPr>
      <w:r>
        <w:rPr>
          <w:rFonts w:cs="Arial" w:ascii="Times New Roman" w:hAnsi="Times New Roman"/>
          <w:sz w:val="24"/>
          <w:szCs w:val="24"/>
        </w:rPr>
        <w:t>4. Vazamentos e derramamentos: Durante o transporte, armazenamento e manuseio do GLP, existe o risco de vazamentos e derramamentos. Esses incidentes podem resultar em riscos ambientais, como contaminação do solo e de corpos d'água, além de representarem um perigo para a segurança dos militares. É fundamental que a empresa contratada adote medidas de segurança adequadas, como a realização de inspeções regulares, treinamento dos funcionários e o cumprimento das normas de segurança aplicáveis.</w:t>
      </w:r>
    </w:p>
    <w:p>
      <w:pPr>
        <w:pStyle w:val="Normal"/>
        <w:widowControl/>
        <w:bidi w:val="0"/>
        <w:spacing w:lineRule="auto" w:line="240" w:before="0" w:after="0"/>
        <w:ind w:left="0" w:right="0" w:firstLine="850"/>
        <w:contextualSpacing/>
        <w:jc w:val="both"/>
        <w:rPr/>
      </w:pPr>
      <w:r>
        <w:rPr>
          <w:rFonts w:cs="Arial" w:ascii="Times New Roman" w:hAnsi="Times New Roman"/>
          <w:sz w:val="24"/>
          <w:szCs w:val="24"/>
        </w:rPr>
        <w:t>5. Uso de recursos naturais: A extração e o processamento do petróleo, matéria-prima para a produção do GLP, podem causar impactos ambientais significativos, como a degradação de ecossistemas e a contaminação de águas subterrâneas. Embora esses impactos ocorram em etapas anteriores da cadeia produtiva do GLP, é importante considerar o ciclo de vida completo do produto e buscar opções mais sustentáveis, como o uso de energias renováveis.</w:t>
      </w:r>
    </w:p>
    <w:p>
      <w:pPr>
        <w:pStyle w:val="Normal"/>
        <w:widowControl/>
        <w:bidi w:val="0"/>
        <w:spacing w:lineRule="auto" w:line="240" w:before="0" w:after="0"/>
        <w:ind w:left="0" w:right="0" w:firstLine="850"/>
        <w:contextualSpacing/>
        <w:jc w:val="both"/>
        <w:rPr/>
      </w:pPr>
      <w:r>
        <w:rPr>
          <w:rFonts w:cs="Arial" w:ascii="Times New Roman" w:hAnsi="Times New Roman"/>
          <w:sz w:val="24"/>
          <w:szCs w:val="24"/>
        </w:rPr>
        <w:t>É essencial que o processo de contratação inclua critérios ambientais, exigindo das empresas concorrentes um compromisso com a mitigação dos impactos ambientais e a adoção de boas práticas ambientais. A avaliação criteriosa dos aspectos ambientais e a implementação de medidas de mitigação adequadas contribuirão para reduzir os impactos ambientais decorrentes do fornecimento de GLP e promover uma gestão mais sustentável.</w:t>
      </w:r>
    </w:p>
    <w:p>
      <w:pPr>
        <w:pStyle w:val="Normal"/>
        <w:widowControl/>
        <w:bidi w:val="0"/>
        <w:spacing w:lineRule="auto" w:line="240" w:before="0" w:after="0"/>
        <w:ind w:left="0" w:right="0" w:firstLine="850"/>
        <w:contextualSpacing/>
        <w:jc w:val="both"/>
        <w:rPr/>
      </w:pPr>
      <w:r>
        <w:rPr>
          <w:rFonts w:cs="Arial" w:ascii="Times New Roman" w:hAnsi="Times New Roman"/>
          <w:sz w:val="24"/>
          <w:szCs w:val="24"/>
        </w:rPr>
        <w:t>Para reduzir os impactos ambientais decorrentes do fornecimento de gás liquefeito de petróleo (GLP) e promover uma gestão mais sustentável, algumas medidas de mitigação adequadas podem ser adotadas. Essas medidas visam minimizar os efeitos negativos ao meio ambiente. Algumas delas incluem:</w:t>
      </w:r>
    </w:p>
    <w:p>
      <w:pPr>
        <w:pStyle w:val="Normal"/>
        <w:widowControl/>
        <w:bidi w:val="0"/>
        <w:spacing w:lineRule="auto" w:line="240" w:before="0" w:after="0"/>
        <w:ind w:left="0" w:right="0" w:firstLine="850"/>
        <w:contextualSpacing/>
        <w:jc w:val="both"/>
        <w:rPr/>
      </w:pPr>
      <w:r>
        <w:rPr>
          <w:rFonts w:cs="Arial" w:ascii="Times New Roman" w:hAnsi="Times New Roman"/>
          <w:sz w:val="24"/>
          <w:szCs w:val="24"/>
        </w:rPr>
        <w:t>1. Eficiência energética: Promover o uso eficiente do GLP na cozinha do batalhão por meio de equipamentos e utensílios de alta eficiência energética, como fogões, fornos e panelas que otimizam o aproveitamento do calor e reduzem o consumo de gás.</w:t>
      </w:r>
    </w:p>
    <w:p>
      <w:pPr>
        <w:pStyle w:val="Normal"/>
        <w:widowControl/>
        <w:bidi w:val="0"/>
        <w:spacing w:lineRule="auto" w:line="240" w:before="0" w:after="0"/>
        <w:ind w:left="0" w:right="0" w:firstLine="850"/>
        <w:contextualSpacing/>
        <w:jc w:val="both"/>
        <w:rPr/>
      </w:pPr>
      <w:r>
        <w:rPr>
          <w:rFonts w:cs="Arial" w:ascii="Times New Roman" w:hAnsi="Times New Roman"/>
          <w:sz w:val="24"/>
          <w:szCs w:val="24"/>
        </w:rPr>
        <w:t>2. Manutenção preventiva: Implementar um programa de manutenção preventiva regular para os equipamentos de queima de GLP, a fim de garantir o seu funcionamento eficiente e minimizar as emissões de poluentes.</w:t>
      </w:r>
    </w:p>
    <w:p>
      <w:pPr>
        <w:pStyle w:val="Normal"/>
        <w:widowControl/>
        <w:bidi w:val="0"/>
        <w:spacing w:lineRule="auto" w:line="240" w:before="0" w:after="0"/>
        <w:ind w:left="0" w:right="0" w:firstLine="850"/>
        <w:contextualSpacing/>
        <w:jc w:val="both"/>
        <w:rPr/>
      </w:pPr>
      <w:r>
        <w:rPr>
          <w:rFonts w:cs="Arial" w:ascii="Times New Roman" w:hAnsi="Times New Roman"/>
          <w:sz w:val="24"/>
          <w:szCs w:val="24"/>
        </w:rPr>
        <w:t>3. Controle de emissões: Utilizar equipamentos de queima de GLP de alta qualidade, que ofereçam melhor controle das emissões de gases poluentes. Isso pode incluir o uso de tecnologias de combustão mais avançadas e o monitoramento regular das emissões.</w:t>
      </w:r>
    </w:p>
    <w:p>
      <w:pPr>
        <w:pStyle w:val="Normal"/>
        <w:widowControl/>
        <w:bidi w:val="0"/>
        <w:spacing w:lineRule="auto" w:line="240" w:before="0" w:after="0"/>
        <w:ind w:left="0" w:right="0" w:firstLine="850"/>
        <w:contextualSpacing/>
        <w:jc w:val="both"/>
        <w:rPr/>
      </w:pPr>
      <w:r>
        <w:rPr>
          <w:rFonts w:cs="Arial" w:ascii="Times New Roman" w:hAnsi="Times New Roman"/>
          <w:sz w:val="24"/>
          <w:szCs w:val="24"/>
        </w:rPr>
        <w:t>4. Gestão adequada de resíduos: Implementar um sistema eficiente de gestão de resíduos, incluindo a correta separação, armazenamento temporário e destinação final dos recipientes vazios de GLP. Promover a reciclagem e a reutilização desses recipientes sempre que possível.</w:t>
      </w:r>
    </w:p>
    <w:p>
      <w:pPr>
        <w:pStyle w:val="Normal"/>
        <w:widowControl/>
        <w:bidi w:val="0"/>
        <w:spacing w:lineRule="auto" w:line="240" w:before="0" w:after="0"/>
        <w:ind w:left="0" w:right="0" w:firstLine="850"/>
        <w:contextualSpacing/>
        <w:jc w:val="both"/>
        <w:rPr/>
      </w:pPr>
      <w:r>
        <w:rPr>
          <w:rFonts w:cs="Arial" w:ascii="Times New Roman" w:hAnsi="Times New Roman"/>
          <w:sz w:val="24"/>
          <w:szCs w:val="24"/>
        </w:rPr>
        <w:t>5. Avaliação de fornecedores: Considerar critérios ambientais na seleção do fornecedor de GLP, dando preferência àqueles que demonstrem um compromisso sólido com a sustentabilidade, a segurança e a conformidade com as normas ambientais.</w:t>
      </w:r>
    </w:p>
    <w:p>
      <w:pPr>
        <w:pStyle w:val="Normal"/>
        <w:widowControl/>
        <w:bidi w:val="0"/>
        <w:spacing w:lineRule="auto" w:line="240" w:before="0" w:after="0"/>
        <w:ind w:left="0" w:right="0" w:firstLine="850"/>
        <w:contextualSpacing/>
        <w:jc w:val="both"/>
        <w:rPr/>
      </w:pPr>
      <w:r>
        <w:rPr>
          <w:rFonts w:cs="Arial" w:ascii="Times New Roman" w:hAnsi="Times New Roman"/>
          <w:sz w:val="24"/>
          <w:szCs w:val="24"/>
        </w:rPr>
        <w:t>Essas medidas de mitigação podem contribuir para reduzir os impactos ambientais associados ao fornecimento de GLP, tornando a gestão mais sustentável e alinhada com as preocupações ambientais atuais. É importante implementá-las em conjunto com um programa de monitoramento e revisão contínua, a fim de identificar novas oportunidades de melhoria e garantir a conformidade com os princípios de sustentabilidade ambiental.</w:t>
      </w:r>
    </w:p>
    <w:p>
      <w:pPr>
        <w:pStyle w:val="Normal"/>
        <w:widowControl/>
        <w:bidi w:val="0"/>
        <w:spacing w:lineRule="auto" w:line="240" w:before="0" w:after="0"/>
        <w:ind w:left="0" w:right="0" w:firstLine="850"/>
        <w:contextualSpacing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Normal"/>
        <w:widowControl/>
        <w:bidi w:val="0"/>
        <w:spacing w:lineRule="auto" w:line="240" w:before="0" w:after="0"/>
        <w:ind w:left="0" w:right="0" w:firstLine="850"/>
        <w:contextualSpacing/>
        <w:jc w:val="both"/>
        <w:rPr>
          <w:shd w:fill="auto" w:val="clear"/>
        </w:rPr>
      </w:pPr>
      <w:r>
        <w:rPr>
          <w:rFonts w:cs="Arial" w:ascii="Times New Roman" w:hAnsi="Times New Roman"/>
          <w:sz w:val="24"/>
          <w:szCs w:val="24"/>
          <w:shd w:fill="auto" w:val="clear"/>
        </w:rPr>
        <w:t xml:space="preserve">O TERMO DE REFERÊNCIA deverá conter a seguinte redação, conforme estabelece o Guia Nacional de Contratações Sustentáveis, da Consultoria-Geral da União, no item de obrigações da contratada: </w:t>
      </w:r>
    </w:p>
    <w:p>
      <w:pPr>
        <w:pStyle w:val="Normal"/>
        <w:widowControl/>
        <w:bidi w:val="0"/>
        <w:spacing w:lineRule="auto" w:line="240" w:before="0" w:after="0"/>
        <w:ind w:left="0" w:right="0" w:firstLine="850"/>
        <w:contextualSpacing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Normal"/>
        <w:widowControl/>
        <w:bidi w:val="0"/>
        <w:spacing w:lineRule="auto" w:line="240" w:before="0" w:after="0"/>
        <w:ind w:left="0" w:right="0" w:firstLine="850"/>
        <w:contextualSpacing/>
        <w:jc w:val="both"/>
        <w:rPr/>
      </w:pPr>
      <w:r>
        <w:rPr>
          <w:rFonts w:cs="Arial" w:ascii="Times New Roman" w:hAnsi="Times New Roman"/>
          <w:sz w:val="24"/>
          <w:szCs w:val="24"/>
        </w:rPr>
        <w:t>“</w:t>
      </w:r>
      <w:r>
        <w:rPr>
          <w:rFonts w:cs="Arial" w:ascii="Times New Roman" w:hAnsi="Times New Roman"/>
          <w:sz w:val="24"/>
          <w:szCs w:val="24"/>
        </w:rPr>
        <w:t xml:space="preserve">a) Para a gestão e operação dos resíduos perigosos gerados a partir da presente contratação, a contratada deverá observar a Lei nº 12.305, de 2010 – Política Nacional de Resíduos Sólidos, Decreto nº 10.936, de 2022, e Instrução Normativa 1, 25/01/2013 – IBAMA. </w:t>
      </w:r>
    </w:p>
    <w:p>
      <w:pPr>
        <w:pStyle w:val="Normal"/>
        <w:widowControl/>
        <w:bidi w:val="0"/>
        <w:spacing w:lineRule="auto" w:line="240" w:before="0" w:after="0"/>
        <w:ind w:left="0" w:right="0" w:firstLine="850"/>
        <w:contextualSpacing/>
        <w:jc w:val="both"/>
        <w:rPr/>
      </w:pPr>
      <w:r>
        <w:rPr>
          <w:rFonts w:cs="Arial" w:ascii="Times New Roman" w:hAnsi="Times New Roman"/>
          <w:sz w:val="24"/>
          <w:szCs w:val="24"/>
        </w:rPr>
        <w:t xml:space="preserve">a.1) estar regularmente cadastrada no Cadastro Nacional de Operadores de Resíduos Perigosos – CNORP, parte integrante do Cadastro Técnico Federal de Atividades Potencialmente Poluidoras ou Utilizadoras de Recursos Ambientais, conforme classificação do Anexo I da Instrução Normativa IBAMA nº 1, de 25/01/2013; </w:t>
      </w:r>
    </w:p>
    <w:p>
      <w:pPr>
        <w:pStyle w:val="Normal"/>
        <w:widowControl/>
        <w:bidi w:val="0"/>
        <w:spacing w:lineRule="auto" w:line="240" w:before="0" w:after="0"/>
        <w:ind w:left="0" w:right="0" w:firstLine="850"/>
        <w:contextualSpacing/>
        <w:jc w:val="both"/>
        <w:rPr/>
      </w:pPr>
      <w:r>
        <w:rPr>
          <w:rFonts w:cs="Arial" w:ascii="Times New Roman" w:hAnsi="Times New Roman"/>
          <w:sz w:val="24"/>
          <w:szCs w:val="24"/>
        </w:rPr>
        <w:t xml:space="preserve">a.2) possuir plano de gerenciamento de resíduos sólidos aprovado pelo órgão competente e em conformidade com as exigências legais e normas pertinentes dos órgãos do SISNAMA, do SNVS e do SUASA; </w:t>
      </w:r>
    </w:p>
    <w:p>
      <w:pPr>
        <w:pStyle w:val="Normal"/>
        <w:widowControl/>
        <w:bidi w:val="0"/>
        <w:spacing w:lineRule="auto" w:line="240" w:before="0" w:after="0"/>
        <w:ind w:left="0" w:right="0" w:firstLine="850"/>
        <w:contextualSpacing/>
        <w:jc w:val="both"/>
        <w:rPr/>
      </w:pPr>
      <w:r>
        <w:rPr>
          <w:rFonts w:cs="Arial" w:ascii="Times New Roman" w:hAnsi="Times New Roman"/>
          <w:sz w:val="24"/>
          <w:szCs w:val="24"/>
        </w:rPr>
        <w:t xml:space="preserve">a.3) possuir, caso exigível, autorização ou licenciamento junto ao órgão competente, que comprove, no mínimo, capacidade técnica , econômica e condições para prover os cuidados necessários ao gerenciamento desses resíduos. </w:t>
      </w:r>
    </w:p>
    <w:p>
      <w:pPr>
        <w:pStyle w:val="Normal"/>
        <w:widowControl/>
        <w:bidi w:val="0"/>
        <w:spacing w:lineRule="auto" w:line="240" w:before="0" w:after="0"/>
        <w:ind w:left="0" w:right="0" w:firstLine="850"/>
        <w:contextualSpacing/>
        <w:jc w:val="both"/>
        <w:rPr/>
      </w:pPr>
      <w:r>
        <w:rPr>
          <w:rFonts w:cs="Arial" w:ascii="Times New Roman" w:hAnsi="Times New Roman"/>
          <w:sz w:val="24"/>
          <w:szCs w:val="24"/>
        </w:rPr>
        <w:t xml:space="preserve">b) A Contratada que também operar com resíduos perigosos, em qualquer fase do seu gerenciamento, nos termos da Lei nº 12.305, de 2010 – Política Nacional de Resíduos Sólidos, e Decreto nº 10.936, de 2022, deverá: </w:t>
      </w:r>
    </w:p>
    <w:p>
      <w:pPr>
        <w:pStyle w:val="Normal"/>
        <w:widowControl/>
        <w:bidi w:val="0"/>
        <w:spacing w:lineRule="auto" w:line="240" w:before="0" w:after="0"/>
        <w:ind w:left="0" w:right="0" w:firstLine="850"/>
        <w:contextualSpacing/>
        <w:jc w:val="both"/>
        <w:rPr/>
      </w:pPr>
      <w:r>
        <w:rPr>
          <w:rFonts w:cs="Arial" w:ascii="Times New Roman" w:hAnsi="Times New Roman"/>
          <w:sz w:val="24"/>
          <w:szCs w:val="24"/>
        </w:rPr>
        <w:t xml:space="preserve">b.1) elaborar plano de gerenciamento de resíduos perigosos, a ser submetido ao órgão competente; </w:t>
      </w:r>
    </w:p>
    <w:p>
      <w:pPr>
        <w:pStyle w:val="Normal"/>
        <w:widowControl/>
        <w:bidi w:val="0"/>
        <w:spacing w:lineRule="auto" w:line="240" w:before="0" w:after="0"/>
        <w:ind w:left="0" w:right="0" w:firstLine="850"/>
        <w:contextualSpacing/>
        <w:jc w:val="both"/>
        <w:rPr/>
      </w:pPr>
      <w:r>
        <w:rPr>
          <w:rFonts w:cs="Arial" w:ascii="Times New Roman" w:hAnsi="Times New Roman"/>
          <w:sz w:val="24"/>
          <w:szCs w:val="24"/>
        </w:rPr>
        <w:t xml:space="preserve">b.2) adotar medidas destinadas a reduzir o volume e a periculosidade dos resíduos sob sua responsabilidade, bem como a aperfeiçoar seu gerenciamento; </w:t>
      </w:r>
    </w:p>
    <w:p>
      <w:pPr>
        <w:pStyle w:val="Normal"/>
        <w:widowControl/>
        <w:bidi w:val="0"/>
        <w:spacing w:lineRule="auto" w:line="240" w:before="0" w:after="0"/>
        <w:ind w:left="0" w:right="0" w:firstLine="850"/>
        <w:contextualSpacing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  <w:t xml:space="preserve">b.3) informar imediatamente aos órgãos competentes sobre a ocorrência de acidentes ou outros sinistros relacionados aos resíduos perigosos.” </w:t>
      </w:r>
    </w:p>
    <w:p>
      <w:pPr>
        <w:pStyle w:val="Normal"/>
        <w:widowControl/>
        <w:bidi w:val="0"/>
        <w:spacing w:lineRule="auto" w:line="240" w:before="0" w:after="0"/>
        <w:ind w:left="0" w:right="0" w:firstLine="850"/>
        <w:contextualSpacing/>
        <w:jc w:val="both"/>
        <w:rPr/>
      </w:pPr>
      <w:r>
        <w:rPr/>
      </w:r>
    </w:p>
    <w:p>
      <w:pPr>
        <w:pStyle w:val="Normal"/>
        <w:widowControl/>
        <w:bidi w:val="0"/>
        <w:spacing w:lineRule="auto" w:line="240" w:before="0" w:after="0"/>
        <w:ind w:left="0" w:right="0" w:firstLine="850"/>
        <w:contextualSpacing/>
        <w:jc w:val="both"/>
        <w:rPr/>
      </w:pPr>
      <w:r>
        <w:rPr/>
      </w:r>
    </w:p>
    <w:p>
      <w:pPr>
        <w:pStyle w:val="Ttulo1"/>
        <w:spacing w:lineRule="auto" w:line="240" w:before="0" w:after="0"/>
        <w:ind w:left="-5" w:hanging="10"/>
        <w:contextualSpacing/>
        <w:jc w:val="both"/>
        <w:rPr/>
      </w:pPr>
      <w:r>
        <w:rPr>
          <w:rFonts w:cs="Arial" w:ascii="Times New Roman" w:hAnsi="Times New Roman"/>
          <w:sz w:val="24"/>
          <w:szCs w:val="24"/>
        </w:rPr>
        <w:t>15. Declaração de Viabilidade</w:t>
      </w:r>
    </w:p>
    <w:p>
      <w:pPr>
        <w:pStyle w:val="Normal"/>
        <w:widowControl/>
        <w:bidi w:val="0"/>
        <w:spacing w:lineRule="auto" w:line="240" w:before="0" w:after="0"/>
        <w:ind w:left="0" w:right="0" w:firstLine="850"/>
        <w:contextualSpacing/>
        <w:jc w:val="both"/>
        <w:rPr/>
      </w:pPr>
      <w:r>
        <w:rPr>
          <w:rFonts w:cs="Arial" w:ascii="Times New Roman" w:hAnsi="Times New Roman"/>
          <w:sz w:val="24"/>
          <w:szCs w:val="24"/>
        </w:rPr>
        <w:t xml:space="preserve">Esta equipe de planejamento declara </w:t>
      </w:r>
      <w:r>
        <w:rPr>
          <w:rFonts w:cs="Arial" w:ascii="Times New Roman" w:hAnsi="Times New Roman"/>
          <w:b/>
          <w:sz w:val="24"/>
          <w:szCs w:val="24"/>
        </w:rPr>
        <w:t>viável</w:t>
      </w:r>
      <w:r>
        <w:rPr>
          <w:rFonts w:cs="Arial" w:ascii="Times New Roman" w:hAnsi="Times New Roman"/>
          <w:sz w:val="24"/>
          <w:szCs w:val="24"/>
        </w:rPr>
        <w:t xml:space="preserve"> esta contratação.</w:t>
      </w:r>
    </w:p>
    <w:p>
      <w:pPr>
        <w:pStyle w:val="Normal"/>
        <w:spacing w:lineRule="auto" w:line="240" w:before="0" w:after="0"/>
        <w:ind w:left="-5" w:hanging="10"/>
        <w:contextualSpacing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left="-5" w:hanging="10"/>
        <w:contextualSpacing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left="13" w:hanging="0"/>
        <w:contextualSpacing/>
        <w:jc w:val="center"/>
        <w:rPr>
          <w:rFonts w:ascii="Times New Roman" w:hAnsi="Times New Roman" w:cs="Arial"/>
          <w:sz w:val="24"/>
          <w:szCs w:val="24"/>
          <w:shd w:fill="FFFF00" w:val="clear"/>
        </w:rPr>
      </w:pPr>
      <w:r>
        <w:rPr>
          <w:rFonts w:cs="Arial" w:ascii="Times New Roman" w:hAnsi="Times New Roman"/>
          <w:sz w:val="24"/>
          <w:szCs w:val="24"/>
          <w:shd w:fill="FFFF00" w:val="clear"/>
        </w:rPr>
      </w:r>
    </w:p>
    <w:p>
      <w:pPr>
        <w:pStyle w:val="Normal"/>
        <w:spacing w:lineRule="auto" w:line="240" w:before="0" w:after="0"/>
        <w:ind w:left="11" w:hanging="0"/>
        <w:contextualSpacing/>
        <w:jc w:val="center"/>
        <w:rPr/>
      </w:pPr>
      <w:r>
        <w:rPr>
          <w:rFonts w:eastAsia="Calibri" w:cs="Arial" w:ascii="Times New Roman" w:hAnsi="Times New Roman"/>
          <w:b/>
          <w:color w:val="000000"/>
          <w:kern w:val="0"/>
          <w:sz w:val="24"/>
          <w:szCs w:val="24"/>
          <w:shd w:fill="auto" w:val="clear"/>
          <w:lang w:val="pt-BR" w:eastAsia="pt-BR" w:bidi="ar-SA"/>
        </w:rPr>
        <w:t>ARIGILVAN FERREIRA DA SILVA JUNIOR</w:t>
      </w:r>
      <w:r>
        <w:rPr>
          <w:rFonts w:cs="Arial" w:ascii="Times New Roman" w:hAnsi="Times New Roman"/>
          <w:b/>
          <w:sz w:val="24"/>
          <w:szCs w:val="24"/>
          <w:shd w:fill="auto" w:val="clear"/>
        </w:rPr>
        <w:t xml:space="preserve"> - </w:t>
      </w:r>
      <w:r>
        <w:rPr>
          <w:rFonts w:cs="Arial" w:ascii="Times New Roman" w:hAnsi="Times New Roman"/>
          <w:b/>
          <w:sz w:val="24"/>
          <w:szCs w:val="24"/>
        </w:rPr>
        <w:t>2</w:t>
      </w:r>
      <w:r>
        <w:rPr>
          <w:rFonts w:cs="Arial" w:ascii="Times New Roman" w:hAnsi="Times New Roman"/>
          <w:b/>
          <w:bCs/>
          <w:sz w:val="24"/>
          <w:szCs w:val="24"/>
        </w:rPr>
        <w:t>º Ten</w:t>
      </w:r>
    </w:p>
    <w:p>
      <w:pPr>
        <w:pStyle w:val="Normal"/>
        <w:spacing w:lineRule="auto" w:line="240" w:before="0" w:after="0"/>
        <w:ind w:left="11" w:hanging="0"/>
        <w:contextualSpacing/>
        <w:jc w:val="center"/>
        <w:rPr/>
      </w:pPr>
      <w:r>
        <w:rPr>
          <w:rFonts w:cs="Arial" w:ascii="Times New Roman" w:hAnsi="Times New Roman"/>
          <w:sz w:val="24"/>
          <w:szCs w:val="24"/>
        </w:rPr>
        <w:t>Responsável pelo Planejamento/ Requisitante</w:t>
      </w:r>
    </w:p>
    <w:p>
      <w:pPr>
        <w:pStyle w:val="Normal"/>
        <w:spacing w:lineRule="auto" w:line="240" w:before="0" w:after="0"/>
        <w:ind w:left="11" w:hanging="0"/>
        <w:contextualSpacing/>
        <w:jc w:val="center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left="11" w:hanging="0"/>
        <w:contextualSpacing/>
        <w:jc w:val="center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left="11" w:hanging="0"/>
        <w:contextualSpacing/>
        <w:jc w:val="center"/>
        <w:rPr>
          <w:rFonts w:ascii="Times New Roman" w:hAnsi="Times New Roman" w:eastAsia="Calibri" w:cs="Arial"/>
          <w:b/>
          <w:b/>
          <w:bCs/>
          <w:color w:val="auto"/>
          <w:kern w:val="0"/>
          <w:sz w:val="24"/>
          <w:szCs w:val="24"/>
          <w:lang w:val="pt-BR" w:eastAsia="pt-BR" w:bidi="ar-SA"/>
        </w:rPr>
      </w:pPr>
      <w:r>
        <w:rPr>
          <w:rFonts w:eastAsia="Calibri" w:cs="Arial" w:ascii="Times New Roman" w:hAnsi="Times New Roman"/>
          <w:b/>
          <w:bCs/>
          <w:color w:val="auto"/>
          <w:kern w:val="0"/>
          <w:sz w:val="24"/>
          <w:szCs w:val="24"/>
          <w:lang w:val="pt-BR" w:eastAsia="pt-BR" w:bidi="ar-SA"/>
        </w:rPr>
        <w:t>BRUNO LUIS DE BRITTO – 1º Sgt</w:t>
      </w:r>
    </w:p>
    <w:p>
      <w:pPr>
        <w:pStyle w:val="Normal"/>
        <w:spacing w:lineRule="auto" w:line="240" w:before="0" w:after="0"/>
        <w:ind w:left="11" w:hanging="0"/>
        <w:contextualSpacing/>
        <w:jc w:val="center"/>
        <w:rPr/>
      </w:pPr>
      <w:r>
        <w:rPr>
          <w:rFonts w:cs="Arial" w:ascii="Times New Roman" w:hAnsi="Times New Roman"/>
          <w:sz w:val="24"/>
          <w:szCs w:val="24"/>
        </w:rPr>
        <w:t>Assessor de Planejamento/ Auxiliar de Licitações da OM</w:t>
      </w:r>
    </w:p>
    <w:p>
      <w:pPr>
        <w:pStyle w:val="Normal"/>
        <w:spacing w:lineRule="auto" w:line="240" w:before="0" w:after="0"/>
        <w:ind w:left="14" w:hanging="0"/>
        <w:contextualSpacing/>
        <w:jc w:val="both"/>
        <w:rPr/>
      </w:pPr>
      <w:r>
        <w:rPr>
          <w:rFonts w:cs="Arial" w:ascii="Times New Roman" w:hAnsi="Times New Roman"/>
          <w:sz w:val="24"/>
          <w:szCs w:val="24"/>
        </w:rPr>
        <w:t xml:space="preserve"> 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contextualSpacing/>
        <w:jc w:val="both"/>
        <w:rPr/>
      </w:pPr>
      <w:r>
        <w:rPr>
          <w:rFonts w:cs="Arial" w:ascii="Times New Roman" w:hAnsi="Times New Roman"/>
          <w:sz w:val="24"/>
          <w:szCs w:val="24"/>
        </w:rPr>
        <w:t xml:space="preserve"> </w:t>
      </w:r>
      <w:r>
        <w:rPr>
          <w:rStyle w:val="Eop"/>
          <w:rFonts w:cs="Arial" w:ascii="Times New Roman" w:hAnsi="Times New Roman"/>
          <w:b/>
          <w:sz w:val="24"/>
          <w:szCs w:val="24"/>
        </w:rPr>
        <w:t>Aprovação da autoridade competente:</w:t>
      </w:r>
    </w:p>
    <w:p>
      <w:pPr>
        <w:pStyle w:val="Normal"/>
        <w:widowControl w:val="false"/>
        <w:spacing w:lineRule="auto" w:line="240" w:before="0" w:after="0"/>
        <w:ind w:left="10" w:firstLine="709"/>
        <w:contextualSpacing/>
        <w:jc w:val="both"/>
        <w:rPr/>
      </w:pPr>
      <w:r>
        <w:rPr>
          <w:rStyle w:val="Eop"/>
          <w:rFonts w:cs="Arial" w:ascii="Times New Roman" w:hAnsi="Times New Roman"/>
          <w:sz w:val="24"/>
          <w:szCs w:val="24"/>
        </w:rPr>
        <w:t>Conforme previsto no inciso II, art 14, do Decreto n.º 10.024/19, aprovo o presente estudo.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left="13" w:hanging="0"/>
        <w:contextualSpacing/>
        <w:jc w:val="center"/>
        <w:rPr/>
      </w:pPr>
      <w:r>
        <w:rPr>
          <w:rFonts w:cs="Arial" w:ascii="Times New Roman" w:hAnsi="Times New Roman"/>
          <w:sz w:val="24"/>
          <w:szCs w:val="24"/>
        </w:rPr>
        <w:t xml:space="preserve">Petrópolis-RJ, </w:t>
      </w:r>
      <w:r>
        <w:rPr>
          <w:rFonts w:eastAsia="Calibri" w:cs="Arial" w:ascii="Times New Roman" w:hAnsi="Times New Roman"/>
          <w:color w:val="000000"/>
          <w:kern w:val="0"/>
          <w:sz w:val="24"/>
          <w:szCs w:val="24"/>
          <w:lang w:val="pt-BR" w:eastAsia="pt-BR" w:bidi="ar-SA"/>
        </w:rPr>
        <w:t>30</w:t>
      </w:r>
      <w:r>
        <w:rPr>
          <w:rFonts w:cs="Arial" w:ascii="Times New Roman" w:hAnsi="Times New Roman"/>
          <w:sz w:val="24"/>
          <w:szCs w:val="24"/>
        </w:rPr>
        <w:t xml:space="preserve"> de </w:t>
      </w:r>
      <w:r>
        <w:rPr>
          <w:rFonts w:eastAsia="Calibri" w:cs="Arial" w:ascii="Times New Roman" w:hAnsi="Times New Roman"/>
          <w:color w:val="000000"/>
          <w:sz w:val="24"/>
          <w:szCs w:val="24"/>
        </w:rPr>
        <w:t>maio</w:t>
      </w:r>
      <w:r>
        <w:rPr>
          <w:rFonts w:cs="Arial" w:ascii="Times New Roman" w:hAnsi="Times New Roman"/>
          <w:sz w:val="24"/>
          <w:szCs w:val="24"/>
        </w:rPr>
        <w:t xml:space="preserve"> de 2023</w:t>
      </w:r>
    </w:p>
    <w:p>
      <w:pPr>
        <w:pStyle w:val="Normal"/>
        <w:spacing w:lineRule="auto" w:line="240" w:before="0" w:after="0"/>
        <w:ind w:left="13" w:hanging="0"/>
        <w:contextualSpacing/>
        <w:jc w:val="center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left="13" w:hanging="0"/>
        <w:contextualSpacing/>
        <w:jc w:val="center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left="13" w:hanging="0"/>
        <w:contextualSpacing/>
        <w:jc w:val="center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Padro"/>
        <w:tabs>
          <w:tab w:val="clear" w:pos="708"/>
        </w:tabs>
        <w:spacing w:lineRule="auto" w:line="240" w:before="0" w:after="0"/>
        <w:contextualSpacing/>
        <w:jc w:val="center"/>
        <w:rPr/>
      </w:pPr>
      <w:r>
        <w:rPr>
          <w:rFonts w:eastAsia="Times New Roman" w:cs="Arial" w:ascii="Times New Roman" w:hAnsi="Times New Roman"/>
          <w:b/>
          <w:bCs/>
          <w:color w:val="000000"/>
          <w:sz w:val="24"/>
          <w:szCs w:val="24"/>
          <w:lang w:eastAsia="ar-SA"/>
        </w:rPr>
        <w:t>CARLOS OTÁVIO MACEDO DE SOUSA – Ten Cel</w:t>
        <w:br/>
      </w:r>
      <w:r>
        <w:rPr>
          <w:rFonts w:eastAsia="Times New Roman" w:cs="Arial" w:ascii="Times New Roman" w:hAnsi="Times New Roman"/>
          <w:color w:val="000000"/>
          <w:sz w:val="24"/>
          <w:szCs w:val="24"/>
          <w:lang w:eastAsia="ar-SA"/>
        </w:rPr>
        <w:t>Ordenador de Despesas do 32º Batalhão de Infantaria Leve de Montanha</w:t>
      </w:r>
    </w:p>
    <w:sectPr>
      <w:headerReference w:type="default" r:id="rId3"/>
      <w:footerReference w:type="default" r:id="rId4"/>
      <w:type w:val="nextPage"/>
      <w:pgSz w:w="11906" w:h="16838"/>
      <w:pgMar w:left="1725" w:right="1256" w:header="195" w:top="1920" w:footer="488" w:bottom="1153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Ecofont_Spranq_eco_Sans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altName w:val="sans-serif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auto" w:line="259" w:before="0" w:after="0"/>
      <w:ind w:left="0" w:right="-134" w:hanging="0"/>
      <w:jc w:val="right"/>
      <w:rPr/>
    </w:pPr>
    <w:r>
      <w:rPr>
        <w:sz w:val="18"/>
      </w:rPr>
      <w:fldChar w:fldCharType="begin"/>
    </w:r>
    <w:r>
      <w:rPr>
        <w:sz w:val="18"/>
      </w:rPr>
      <w:instrText> PAGE </w:instrText>
    </w:r>
    <w:r>
      <w:rPr>
        <w:sz w:val="18"/>
      </w:rPr>
      <w:fldChar w:fldCharType="separate"/>
    </w:r>
    <w:r>
      <w:rPr>
        <w:sz w:val="18"/>
      </w:rPr>
      <w:t>6</w:t>
    </w:r>
    <w:r>
      <w:rPr>
        <w:sz w:val="18"/>
      </w:rPr>
      <w:fldChar w:fldCharType="end"/>
    </w:r>
    <w:r>
      <w:rPr>
        <w:sz w:val="18"/>
      </w:rPr>
      <w:t xml:space="preserve"> </w:t>
    </w:r>
    <w:r>
      <w:rPr>
        <w:sz w:val="18"/>
      </w:rPr>
      <w:t xml:space="preserve">de </w:t>
    </w:r>
    <w:r>
      <w:rPr>
        <w:sz w:val="18"/>
      </w:rPr>
      <w:fldChar w:fldCharType="begin"/>
    </w:r>
    <w:r>
      <w:rPr>
        <w:sz w:val="18"/>
      </w:rPr>
      <w:instrText> NUMPAGES </w:instrText>
    </w:r>
    <w:r>
      <w:rPr>
        <w:sz w:val="18"/>
      </w:rPr>
      <w:fldChar w:fldCharType="separate"/>
    </w:r>
    <w:r>
      <w:rPr>
        <w:sz w:val="18"/>
      </w:rPr>
      <w:t>6</w:t>
    </w:r>
    <w:r>
      <w:rPr>
        <w:sz w:val="18"/>
      </w:rPr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tabs>
        <w:tab w:val="clear" w:pos="708"/>
        <w:tab w:val="right" w:pos="9384" w:leader="none"/>
      </w:tabs>
      <w:spacing w:lineRule="auto" w:line="259" w:before="0" w:after="0"/>
      <w:ind w:left="-120" w:right="-133" w:hanging="0"/>
      <w:jc w:val="right"/>
      <w:rPr/>
    </w:pPr>
    <w:r>
      <w:rPr/>
      <w:drawing>
        <wp:inline distT="0" distB="0" distL="0" distR="0">
          <wp:extent cx="762000" cy="704850"/>
          <wp:effectExtent l="0" t="0" r="0" b="0"/>
          <wp:docPr id="1" name="Imagem 1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704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Normal"/>
      <w:tabs>
        <w:tab w:val="clear" w:pos="708"/>
        <w:tab w:val="right" w:pos="9384" w:leader="none"/>
      </w:tabs>
      <w:spacing w:lineRule="auto" w:line="259" w:before="0" w:after="0"/>
      <w:ind w:left="-120" w:right="-133" w:hanging="0"/>
      <w:rPr/>
    </w:pPr>
    <w:r>
      <w:rPr>
        <w:b/>
        <w:sz w:val="18"/>
      </w:rPr>
      <w:t>UASG 160247</w:t>
      <w:tab/>
      <w:t>Estudo Técnico Preliminar 08/2023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3"/>
      <w:numFmt w:val="decimal"/>
      <w:lvlText w:val="%1."/>
      <w:lvlJc w:val="left"/>
      <w:pPr>
        <w:tabs>
          <w:tab w:val="num" w:pos="0"/>
        </w:tabs>
        <w:ind w:left="405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auto" w:val="clear"/>
        <w:szCs w:val="24"/>
        <w:bCs/>
        <w:rFonts w:ascii="Times New Roman" w:hAnsi="Times New Roman" w:eastAsia="Calibri" w:cs="Calibri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0"/>
      </w:pPr>
      <w:rPr>
        <w:dstrike w:val="false"/>
        <w:strike w:val="false"/>
        <w:vertAlign w:val="baseline"/>
        <w:position w:val="0"/>
        <w:sz w:val="27"/>
        <w:sz w:val="27"/>
        <w:i w:val="false"/>
        <w:u w:val="none" w:color="000000"/>
        <w:b/>
        <w:shd w:fill="auto" w:val="clear"/>
        <w:szCs w:val="27"/>
        <w:bCs/>
        <w:rFonts w:ascii="Calibri" w:hAnsi="Calibri" w:eastAsia="Calibri" w:cs="Calibri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0"/>
      </w:pPr>
      <w:rPr>
        <w:dstrike w:val="false"/>
        <w:strike w:val="false"/>
        <w:vertAlign w:val="baseline"/>
        <w:position w:val="0"/>
        <w:sz w:val="27"/>
        <w:sz w:val="27"/>
        <w:i w:val="false"/>
        <w:u w:val="none" w:color="000000"/>
        <w:b/>
        <w:shd w:fill="auto" w:val="clear"/>
        <w:szCs w:val="27"/>
        <w:bCs/>
        <w:rFonts w:ascii="Calibri" w:hAnsi="Calibri" w:eastAsia="Calibri" w:cs="Calibri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0"/>
      </w:pPr>
      <w:rPr>
        <w:dstrike w:val="false"/>
        <w:strike w:val="false"/>
        <w:vertAlign w:val="baseline"/>
        <w:position w:val="0"/>
        <w:sz w:val="27"/>
        <w:sz w:val="27"/>
        <w:i w:val="false"/>
        <w:u w:val="none" w:color="000000"/>
        <w:b/>
        <w:shd w:fill="auto" w:val="clear"/>
        <w:szCs w:val="27"/>
        <w:bCs/>
        <w:rFonts w:ascii="Calibri" w:hAnsi="Calibri" w:eastAsia="Calibri" w:cs="Calibri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0"/>
      </w:pPr>
      <w:rPr>
        <w:dstrike w:val="false"/>
        <w:strike w:val="false"/>
        <w:vertAlign w:val="baseline"/>
        <w:position w:val="0"/>
        <w:sz w:val="27"/>
        <w:sz w:val="27"/>
        <w:i w:val="false"/>
        <w:u w:val="none" w:color="000000"/>
        <w:b/>
        <w:shd w:fill="auto" w:val="clear"/>
        <w:szCs w:val="27"/>
        <w:bCs/>
        <w:rFonts w:ascii="Calibri" w:hAnsi="Calibri" w:eastAsia="Calibri" w:cs="Calibri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0"/>
      </w:pPr>
      <w:rPr>
        <w:dstrike w:val="false"/>
        <w:strike w:val="false"/>
        <w:vertAlign w:val="baseline"/>
        <w:position w:val="0"/>
        <w:sz w:val="27"/>
        <w:sz w:val="27"/>
        <w:i w:val="false"/>
        <w:u w:val="none" w:color="000000"/>
        <w:b/>
        <w:shd w:fill="auto" w:val="clear"/>
        <w:szCs w:val="27"/>
        <w:bCs/>
        <w:rFonts w:ascii="Calibri" w:hAnsi="Calibri" w:eastAsia="Calibri" w:cs="Calibri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0"/>
      </w:pPr>
      <w:rPr>
        <w:dstrike w:val="false"/>
        <w:strike w:val="false"/>
        <w:vertAlign w:val="baseline"/>
        <w:position w:val="0"/>
        <w:sz w:val="27"/>
        <w:sz w:val="27"/>
        <w:i w:val="false"/>
        <w:u w:val="none" w:color="000000"/>
        <w:b/>
        <w:shd w:fill="auto" w:val="clear"/>
        <w:szCs w:val="27"/>
        <w:bCs/>
        <w:rFonts w:ascii="Calibri" w:hAnsi="Calibri" w:eastAsia="Calibri" w:cs="Calibri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0"/>
      </w:pPr>
      <w:rPr>
        <w:dstrike w:val="false"/>
        <w:strike w:val="false"/>
        <w:vertAlign w:val="baseline"/>
        <w:position w:val="0"/>
        <w:sz w:val="27"/>
        <w:sz w:val="27"/>
        <w:i w:val="false"/>
        <w:u w:val="none" w:color="000000"/>
        <w:b/>
        <w:shd w:fill="auto" w:val="clear"/>
        <w:szCs w:val="27"/>
        <w:bCs/>
        <w:rFonts w:ascii="Calibri" w:hAnsi="Calibri" w:eastAsia="Calibri" w:cs="Calibri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0"/>
      </w:pPr>
      <w:rPr>
        <w:dstrike w:val="false"/>
        <w:strike w:val="false"/>
        <w:vertAlign w:val="baseline"/>
        <w:position w:val="0"/>
        <w:sz w:val="27"/>
        <w:sz w:val="27"/>
        <w:i w:val="false"/>
        <w:u w:val="none" w:color="000000"/>
        <w:b/>
        <w:shd w:fill="auto" w:val="clear"/>
        <w:szCs w:val="27"/>
        <w:bCs/>
        <w:rFonts w:ascii="Calibri" w:hAnsi="Calibri" w:eastAsia="Calibri" w:cs="Calibri"/>
        <w:color w:val="000000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96"/>
      <w:ind w:left="10" w:hanging="10"/>
      <w:jc w:val="left"/>
    </w:pPr>
    <w:rPr>
      <w:rFonts w:ascii="Calibri" w:hAnsi="Calibri" w:eastAsia="Calibri" w:cs="Calibri"/>
      <w:color w:val="000000"/>
      <w:kern w:val="0"/>
      <w:sz w:val="21"/>
      <w:szCs w:val="22"/>
      <w:lang w:val="pt-BR" w:eastAsia="pt-BR" w:bidi="ar-SA"/>
    </w:rPr>
  </w:style>
  <w:style w:type="paragraph" w:styleId="Ttulo1">
    <w:name w:val="Heading 1"/>
    <w:next w:val="Normal"/>
    <w:link w:val="Ttulo1Char"/>
    <w:uiPriority w:val="9"/>
    <w:unhideWhenUsed/>
    <w:qFormat/>
    <w:pPr>
      <w:keepNext w:val="true"/>
      <w:keepLines/>
      <w:widowControl/>
      <w:suppressAutoHyphens w:val="true"/>
      <w:bidi w:val="0"/>
      <w:spacing w:lineRule="auto" w:line="259" w:before="0" w:after="137"/>
      <w:ind w:left="10" w:hanging="10"/>
      <w:jc w:val="left"/>
      <w:outlineLvl w:val="0"/>
    </w:pPr>
    <w:rPr>
      <w:rFonts w:ascii="Calibri" w:hAnsi="Calibri" w:eastAsia="Calibri" w:cs="Calibri"/>
      <w:b/>
      <w:color w:val="000000"/>
      <w:kern w:val="0"/>
      <w:sz w:val="27"/>
      <w:szCs w:val="22"/>
      <w:lang w:val="pt-BR" w:eastAsia="pt-BR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1Char" w:customStyle="1">
    <w:name w:val="Título 1 Char"/>
    <w:link w:val="Ttulo1"/>
    <w:qFormat/>
    <w:rPr>
      <w:rFonts w:ascii="Calibri" w:hAnsi="Calibri" w:eastAsia="Calibri" w:cs="Calibri"/>
      <w:b/>
      <w:color w:val="000000"/>
      <w:sz w:val="27"/>
    </w:rPr>
  </w:style>
  <w:style w:type="character" w:styleId="Eop" w:customStyle="1">
    <w:name w:val="eop"/>
    <w:qFormat/>
    <w:rsid w:val="00217017"/>
    <w:rPr/>
  </w:style>
  <w:style w:type="character" w:styleId="LinkdaInternet">
    <w:name w:val="Link da Internet"/>
    <w:rPr>
      <w:color w:val="000080"/>
      <w:u w:val="single"/>
      <w:lang w:val="zxx" w:eastAsia="zxx" w:bidi="zxx"/>
    </w:rPr>
  </w:style>
  <w:style w:type="character" w:styleId="Nvel1SemNumPretoChar">
    <w:name w:val="Nível 1-Sem Num Preto Char"/>
    <w:qFormat/>
    <w:rPr>
      <w:rFonts w:ascii="Arial" w:hAnsi="Arial" w:eastAsia="0"/>
      <w:b/>
      <w:bCs/>
      <w:color w:val="FF0000"/>
      <w:spacing w:val="5"/>
      <w:kern w:val="2"/>
      <w:sz w:val="52"/>
      <w:szCs w:val="52"/>
      <w:lang w:eastAsia="zh-CN" w:bidi="hi-IN"/>
    </w:rPr>
  </w:style>
  <w:style w:type="character" w:styleId="UnresolvedMention">
    <w:name w:val="Unresolved Mention"/>
    <w:qFormat/>
    <w:rPr>
      <w:color w:val="605E5C"/>
      <w:shd w:fill="E1DFDD" w:val="clear"/>
    </w:rPr>
  </w:style>
  <w:style w:type="character" w:styleId="Mention">
    <w:name w:val="Mention"/>
    <w:qFormat/>
    <w:rPr>
      <w:color w:val="2B579A"/>
      <w:shd w:fill="E6E6E6" w:val="clear"/>
    </w:rPr>
  </w:style>
  <w:style w:type="character" w:styleId="AlteraesChar">
    <w:name w:val="Alterações Char"/>
    <w:qFormat/>
    <w:rPr>
      <w:rFonts w:ascii="Arial" w:hAnsi="Arial"/>
      <w:i/>
      <w:iCs/>
      <w:color w:val="0000FF"/>
    </w:rPr>
  </w:style>
  <w:style w:type="character" w:styleId="Nivel3erroChar">
    <w:name w:val="Nivel 3-erro Char"/>
    <w:qFormat/>
    <w:rPr>
      <w:rFonts w:ascii="Arial" w:hAnsi="Arial" w:cs="Tahoma"/>
    </w:rPr>
  </w:style>
  <w:style w:type="character" w:styleId="Findhit">
    <w:name w:val="findhit"/>
    <w:qFormat/>
    <w:rPr/>
  </w:style>
  <w:style w:type="character" w:styleId="Mentionnonrsolue1">
    <w:name w:val="Mention non résolue1"/>
    <w:qFormat/>
    <w:rPr>
      <w:color w:val="605E5C"/>
      <w:shd w:fill="E1DFDD" w:val="clear"/>
    </w:rPr>
  </w:style>
  <w:style w:type="character" w:styleId="PrembuloChar">
    <w:name w:val="Preâmbulo Char"/>
    <w:qFormat/>
    <w:rPr>
      <w:rFonts w:ascii="Arial" w:hAnsi="Arial" w:eastAsia="Arial"/>
      <w:bCs/>
    </w:rPr>
  </w:style>
  <w:style w:type="character" w:styleId="Nvel1SemNumChar">
    <w:name w:val="Nível 1-Sem Num Char"/>
    <w:qFormat/>
    <w:rPr>
      <w:rFonts w:ascii="Arial" w:hAnsi="Arial" w:eastAsia="0"/>
      <w:b/>
      <w:bCs/>
      <w:color w:val="FF0000"/>
      <w:spacing w:val="5"/>
      <w:kern w:val="2"/>
      <w:sz w:val="52"/>
      <w:szCs w:val="52"/>
    </w:rPr>
  </w:style>
  <w:style w:type="character" w:styleId="Nvel4RChar">
    <w:name w:val="Nível 4-R Char"/>
    <w:qFormat/>
    <w:rPr>
      <w:rFonts w:ascii="Arial" w:hAnsi="Arial"/>
      <w:i/>
      <w:iCs/>
      <w:color w:val="FF0000"/>
    </w:rPr>
  </w:style>
  <w:style w:type="character" w:styleId="Nvel3RChar">
    <w:name w:val="Nível 3-R Char"/>
    <w:qFormat/>
    <w:rPr>
      <w:rFonts w:ascii="Arial" w:hAnsi="Arial"/>
      <w:i/>
      <w:iCs/>
      <w:color w:val="FF0000"/>
    </w:rPr>
  </w:style>
  <w:style w:type="character" w:styleId="Nivel3Char">
    <w:name w:val="Nivel 3 Char"/>
    <w:qFormat/>
    <w:rPr>
      <w:rFonts w:ascii="Arial" w:hAnsi="Arial"/>
      <w:color w:val="000000"/>
    </w:rPr>
  </w:style>
  <w:style w:type="character" w:styleId="Nvel2RedChar">
    <w:name w:val="Nível 2 -Red Char"/>
    <w:qFormat/>
    <w:rPr>
      <w:rFonts w:ascii="Arial" w:hAnsi="Arial" w:eastAsia="Arial"/>
      <w:i/>
      <w:iCs/>
      <w:color w:val="FF0000"/>
    </w:rPr>
  </w:style>
  <w:style w:type="character" w:styleId="OuChar">
    <w:name w:val="ou Char"/>
    <w:qFormat/>
    <w:rPr>
      <w:rFonts w:ascii="Arial" w:hAnsi="Arial" w:eastAsia="Cambria"/>
      <w:b/>
      <w:bCs/>
      <w:i/>
      <w:iCs/>
      <w:color w:val="FF0000"/>
      <w:u w:val="single"/>
    </w:rPr>
  </w:style>
  <w:style w:type="character" w:styleId="MenoPendente4">
    <w:name w:val="Menção Pendente4"/>
    <w:qFormat/>
    <w:rPr>
      <w:color w:val="605E5C"/>
      <w:shd w:fill="E1DFDD" w:val="clear"/>
    </w:rPr>
  </w:style>
  <w:style w:type="character" w:styleId="MenoPendente3">
    <w:name w:val="Menção Pendente3"/>
    <w:qFormat/>
    <w:rPr>
      <w:color w:val="605E5C"/>
      <w:shd w:fill="E1DFDD" w:val="clear"/>
    </w:rPr>
  </w:style>
  <w:style w:type="character" w:styleId="Markedcontent">
    <w:name w:val="markedcontent"/>
    <w:qFormat/>
    <w:rPr/>
  </w:style>
  <w:style w:type="character" w:styleId="Ttulo6Char">
    <w:name w:val="Título 6 Char"/>
    <w:qFormat/>
    <w:rPr>
      <w:rFonts w:ascii="Calibri" w:hAnsi="Calibri" w:eastAsia="0" w:cs="0"/>
      <w:color w:val="243F60"/>
      <w:sz w:val="22"/>
      <w:szCs w:val="22"/>
    </w:rPr>
  </w:style>
  <w:style w:type="character" w:styleId="Ttulo3Char">
    <w:name w:val="Título 3 Char"/>
    <w:qFormat/>
    <w:rPr>
      <w:rFonts w:ascii="Calibri" w:hAnsi="Calibri" w:eastAsia="0" w:cs="0"/>
      <w:color w:val="243F60"/>
    </w:rPr>
  </w:style>
  <w:style w:type="character" w:styleId="PargrafodaListaChar">
    <w:name w:val="Parágrafo da Lista Char"/>
    <w:qFormat/>
    <w:rPr>
      <w:rFonts w:ascii="Ecofont_Spranq_eco_Sans" w:hAnsi="Ecofont_Spranq_eco_Sans" w:cs="Tahoma"/>
    </w:rPr>
  </w:style>
  <w:style w:type="character" w:styleId="PlaceholderText">
    <w:name w:val="Placeholder Text"/>
    <w:qFormat/>
    <w:rPr>
      <w:color w:val="808080"/>
    </w:rPr>
  </w:style>
  <w:style w:type="character" w:styleId="Nvel3OpcionalChar">
    <w:name w:val="Nível 3 Opcional Char"/>
    <w:qFormat/>
    <w:rPr>
      <w:rFonts w:ascii="Arial" w:hAnsi="Arial" w:eastAsia="Times New Roman"/>
      <w:i/>
      <w:iCs/>
      <w:color w:val="FF0000"/>
    </w:rPr>
  </w:style>
  <w:style w:type="character" w:styleId="Nvel2OpcionalChar">
    <w:name w:val="Nível 2 Opcional Char"/>
    <w:qFormat/>
    <w:rPr>
      <w:rFonts w:ascii="Arial" w:hAnsi="Arial" w:eastAsia="Times New Roman"/>
      <w:i/>
      <w:color w:val="FF0000"/>
    </w:rPr>
  </w:style>
  <w:style w:type="character" w:styleId="Nivel2Char">
    <w:name w:val="Nivel 2 Char"/>
    <w:qFormat/>
    <w:rPr>
      <w:rFonts w:ascii="Arial" w:hAnsi="Arial" w:eastAsia="Arial"/>
      <w:color w:val="000000"/>
    </w:rPr>
  </w:style>
  <w:style w:type="character" w:styleId="MenoPendente2">
    <w:name w:val="Menção Pendente2"/>
    <w:qFormat/>
    <w:rPr>
      <w:color w:val="605E5C"/>
      <w:shd w:fill="E1DFDD" w:val="clear"/>
    </w:rPr>
  </w:style>
  <w:style w:type="character" w:styleId="MenoPendente1">
    <w:name w:val="Menção Pendente1"/>
    <w:qFormat/>
    <w:rPr>
      <w:color w:val="605E5C"/>
      <w:shd w:fill="E1DFDD" w:val="clear"/>
    </w:rPr>
  </w:style>
  <w:style w:type="character" w:styleId="Highlight">
    <w:name w:val="highlight"/>
    <w:qFormat/>
    <w:rPr/>
  </w:style>
  <w:style w:type="character" w:styleId="GradeColoridanfase1Char">
    <w:name w:val="Grade Colorida - Ênfase 1 Char"/>
    <w:qFormat/>
    <w:rPr>
      <w:rFonts w:ascii="Arial" w:hAnsi="Arial" w:eastAsia="Calibri"/>
      <w:i/>
      <w:iCs/>
      <w:color w:val="000000"/>
      <w:szCs w:val="24"/>
      <w:shd w:fill="FFFFCC" w:val="clear"/>
    </w:rPr>
  </w:style>
  <w:style w:type="character" w:styleId="Manoel">
    <w:name w:val="Manoel"/>
    <w:qFormat/>
    <w:rPr>
      <w:rFonts w:ascii="Arial" w:hAnsi="Arial" w:cs="Arial"/>
      <w:color w:val="7030A0"/>
      <w:sz w:val="20"/>
    </w:rPr>
  </w:style>
  <w:style w:type="character" w:styleId="Strong">
    <w:name w:val="Strong"/>
    <w:qFormat/>
    <w:rPr>
      <w:b/>
      <w:bCs/>
    </w:rPr>
  </w:style>
  <w:style w:type="character" w:styleId="Em0020ementachar1">
    <w:name w:val="em_0020ementa__char1"/>
    <w:qFormat/>
    <w:rPr>
      <w:rFonts w:ascii="Times New Roman" w:hAnsi="Times New Roman" w:cs="Times New Roman"/>
      <w:strike w:val="false"/>
      <w:dstrike w:val="false"/>
      <w:sz w:val="28"/>
      <w:szCs w:val="28"/>
      <w:u w:val="none"/>
      <w:effect w:val="none"/>
    </w:rPr>
  </w:style>
  <w:style w:type="character" w:styleId="Cp0020corpodespachochar1">
    <w:name w:val="cp_0020corpodespacho__char1"/>
    <w:qFormat/>
    <w:rPr>
      <w:rFonts w:ascii="Times New Roman" w:hAnsi="Times New Roman" w:cs="Times New Roman"/>
      <w:strike w:val="false"/>
      <w:dstrike w:val="false"/>
      <w:sz w:val="26"/>
      <w:szCs w:val="26"/>
      <w:u w:val="none"/>
      <w:effect w:val="none"/>
    </w:rPr>
  </w:style>
  <w:style w:type="character" w:styleId="Nivel4Char">
    <w:name w:val="Nivel 4 Char"/>
    <w:qFormat/>
    <w:rPr>
      <w:rFonts w:ascii="Arial" w:hAnsi="Arial"/>
    </w:rPr>
  </w:style>
  <w:style w:type="character" w:styleId="Nivel1Char">
    <w:name w:val="Nivel1 Char"/>
    <w:qFormat/>
    <w:rPr>
      <w:rFonts w:ascii="Arial" w:hAnsi="Arial" w:eastAsia="0"/>
      <w:b/>
      <w:bCs w:val="false"/>
      <w:color w:val="000000"/>
      <w:sz w:val="28"/>
      <w:szCs w:val="28"/>
    </w:rPr>
  </w:style>
  <w:style w:type="character" w:styleId="CorpodetextoChar">
    <w:name w:val="Corpo de texto Char"/>
    <w:qFormat/>
    <w:rPr>
      <w:rFonts w:eastAsia="Times New Roman"/>
    </w:rPr>
  </w:style>
  <w:style w:type="character" w:styleId="Spellingerror">
    <w:name w:val="spellingerror"/>
    <w:qFormat/>
    <w:rPr/>
  </w:style>
  <w:style w:type="character" w:styleId="Normaltextrun">
    <w:name w:val="normaltextrun"/>
    <w:qFormat/>
    <w:rPr/>
  </w:style>
  <w:style w:type="character" w:styleId="QuoteChar">
    <w:name w:val="Quote Char"/>
    <w:qFormat/>
    <w:rPr>
      <w:rFonts w:ascii="Ecofont_Spranq_eco_Sans" w:hAnsi="Ecofont_Spranq_eco_Sans" w:eastAsia="Calibri" w:cs="Tahoma"/>
      <w:i/>
      <w:iCs/>
      <w:color w:val="000000"/>
      <w:shd w:fill="FFFFCC" w:val="clear"/>
    </w:rPr>
  </w:style>
  <w:style w:type="character" w:styleId="Nivel01TituloChar">
    <w:name w:val="Nivel_01_Titulo Char"/>
    <w:qFormat/>
    <w:rPr>
      <w:rFonts w:ascii="Arial" w:hAnsi="Arial" w:eastAsia="0" w:cs="0"/>
      <w:b/>
      <w:bCs/>
      <w:color w:val="000000"/>
      <w:spacing w:val="5"/>
      <w:kern w:val="2"/>
      <w:sz w:val="52"/>
      <w:szCs w:val="52"/>
    </w:rPr>
  </w:style>
  <w:style w:type="character" w:styleId="Nivel01Char">
    <w:name w:val="Nivel 01 Char"/>
    <w:qFormat/>
    <w:rPr>
      <w:rFonts w:ascii="Arial" w:hAnsi="Arial" w:eastAsia="0"/>
      <w:b/>
      <w:bCs/>
      <w:color w:val="17365D"/>
      <w:spacing w:val="5"/>
      <w:kern w:val="2"/>
      <w:sz w:val="52"/>
      <w:szCs w:val="52"/>
    </w:rPr>
  </w:style>
  <w:style w:type="character" w:styleId="TtuloChar">
    <w:name w:val="Título Char"/>
    <w:qFormat/>
    <w:rPr>
      <w:rFonts w:ascii="Calibri" w:hAnsi="Calibri" w:eastAsia="0" w:cs="0"/>
      <w:color w:val="17365D"/>
      <w:spacing w:val="5"/>
      <w:kern w:val="2"/>
      <w:sz w:val="52"/>
      <w:szCs w:val="52"/>
    </w:rPr>
  </w:style>
  <w:style w:type="character" w:styleId="Ttulo4Char">
    <w:name w:val="Título 4 Char"/>
    <w:qFormat/>
    <w:rPr>
      <w:rFonts w:ascii="Calibri" w:hAnsi="Calibri" w:eastAsia="0" w:cs="0"/>
      <w:i/>
      <w:iCs/>
      <w:color w:val="365F91"/>
    </w:rPr>
  </w:style>
  <w:style w:type="character" w:styleId="AssuntodocomentrioChar">
    <w:name w:val="Assunto do comentário Char"/>
    <w:qFormat/>
    <w:rPr>
      <w:rFonts w:ascii="Ecofont_Spranq_eco_Sans" w:hAnsi="Ecofont_Spranq_eco_Sans" w:cs="Tahoma"/>
      <w:b/>
      <w:bCs/>
    </w:rPr>
  </w:style>
  <w:style w:type="character" w:styleId="TextodecomentrioChar">
    <w:name w:val="Texto de comentário Char"/>
    <w:qFormat/>
    <w:rPr>
      <w:rFonts w:ascii="Ecofont_Spranq_eco_Sans" w:hAnsi="Ecofont_Spranq_eco_Sans" w:cs="Tahoma"/>
    </w:rPr>
  </w:style>
  <w:style w:type="character" w:styleId="Annotationreference">
    <w:name w:val="annotation reference"/>
    <w:qFormat/>
    <w:rPr>
      <w:sz w:val="16"/>
      <w:szCs w:val="16"/>
    </w:rPr>
  </w:style>
  <w:style w:type="character" w:styleId="RodapChar">
    <w:name w:val="Rodapé Char"/>
    <w:qFormat/>
    <w:rPr>
      <w:rFonts w:ascii="Ecofont_Spranq_eco_Sans" w:hAnsi="Ecofont_Spranq_eco_Sans" w:cs="Tahoma"/>
      <w:sz w:val="24"/>
      <w:szCs w:val="24"/>
    </w:rPr>
  </w:style>
  <w:style w:type="character" w:styleId="CabealhoChar">
    <w:name w:val="Cabeçalho Char"/>
    <w:qFormat/>
    <w:rPr>
      <w:rFonts w:ascii="Ecofont_Spranq_eco_Sans" w:hAnsi="Ecofont_Spranq_eco_Sans" w:cs="Tahoma"/>
      <w:sz w:val="24"/>
      <w:szCs w:val="24"/>
    </w:rPr>
  </w:style>
  <w:style w:type="character" w:styleId="NotaexplicativaChar">
    <w:name w:val="Nota explicativa Char"/>
    <w:qFormat/>
    <w:rPr>
      <w:rFonts w:ascii="Arial" w:hAnsi="Arial" w:eastAsia="Calibri" w:cs="Tahoma"/>
      <w:i/>
      <w:iCs/>
      <w:color w:val="000000"/>
      <w:shd w:fill="FFFFCC" w:val="clear"/>
    </w:rPr>
  </w:style>
  <w:style w:type="character" w:styleId="CitaoChar">
    <w:name w:val="Citação Char"/>
    <w:qFormat/>
    <w:rPr>
      <w:rFonts w:ascii="Arial" w:hAnsi="Arial" w:eastAsia="Calibri" w:cs="Tahoma"/>
      <w:i/>
      <w:iCs/>
      <w:color w:val="000000"/>
      <w:szCs w:val="24"/>
      <w:shd w:fill="FFFFCC" w:val="clear"/>
    </w:rPr>
  </w:style>
  <w:style w:type="character" w:styleId="Applestylespan">
    <w:name w:val="apple-style-span"/>
    <w:qFormat/>
    <w:rPr/>
  </w:style>
  <w:style w:type="character" w:styleId="Normalchar1">
    <w:name w:val="normal__char1"/>
    <w:qFormat/>
    <w:rPr>
      <w:rFonts w:ascii="Arial" w:hAnsi="Arial" w:cs="Arial"/>
      <w:strike w:val="false"/>
      <w:dstrike w:val="false"/>
      <w:sz w:val="24"/>
      <w:szCs w:val="24"/>
      <w:u w:val="none"/>
      <w:effect w:val="none"/>
    </w:rPr>
  </w:style>
  <w:style w:type="character" w:styleId="Ttulo2Char">
    <w:name w:val="Título 2 Char"/>
    <w:qFormat/>
    <w:rPr>
      <w:b/>
      <w:color w:val="000000"/>
      <w:sz w:val="24"/>
    </w:rPr>
  </w:style>
  <w:style w:type="character" w:styleId="TextodebaloChar">
    <w:name w:val="Texto de balão Char"/>
    <w:qFormat/>
    <w:rPr>
      <w:rFonts w:ascii="Tahoma" w:hAnsi="Tahoma" w:cs="Tahoma"/>
      <w:sz w:val="16"/>
      <w:szCs w:val="16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0f007f"/>
    <w:pPr>
      <w:spacing w:before="0" w:after="196"/>
      <w:ind w:left="720" w:hanging="10"/>
      <w:contextualSpacing/>
    </w:pPr>
    <w:rPr/>
  </w:style>
  <w:style w:type="paragraph" w:styleId="Padro" w:customStyle="1">
    <w:name w:val="Padrão"/>
    <w:qFormat/>
    <w:rsid w:val="00217017"/>
    <w:pPr>
      <w:widowControl/>
      <w:tabs>
        <w:tab w:val="left" w:pos="708" w:leader="none"/>
      </w:tabs>
      <w:suppressAutoHyphens w:val="true"/>
      <w:bidi w:val="0"/>
      <w:spacing w:lineRule="auto" w:line="240" w:before="0" w:after="0"/>
      <w:jc w:val="left"/>
    </w:pPr>
    <w:rPr>
      <w:rFonts w:ascii="Calibri" w:hAnsi="Calibri" w:eastAsia="Droid Sans" w:cs="Calibri"/>
      <w:color w:val="00000A"/>
      <w:kern w:val="0"/>
      <w:sz w:val="22"/>
      <w:szCs w:val="22"/>
      <w:lang w:val="pt-BR" w:eastAsia="en-US" w:bidi="ar-SA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CabealhoeRodap"/>
    <w:pPr/>
    <w:rPr/>
  </w:style>
  <w:style w:type="paragraph" w:styleId="Rodap">
    <w:name w:val="Footer"/>
    <w:basedOn w:val="CabealhoeRodap"/>
    <w:pPr/>
    <w:rPr/>
  </w:style>
  <w:style w:type="paragraph" w:styleId="NormalTable">
    <w:name w:val="Normal Table"/>
    <w:qFormat/>
    <w:pPr>
      <w:widowControl/>
      <w:suppressAutoHyphens w:val="true"/>
      <w:bidi w:val="0"/>
      <w:spacing w:before="0" w:after="0"/>
      <w:jc w:val="left"/>
      <w:textAlignment w:val="auto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t-BR" w:eastAsia="pt-BR" w:bidi="ar-SA"/>
    </w:rPr>
  </w:style>
  <w:style w:type="paragraph" w:styleId="Nvel1SemNumPreto">
    <w:name w:val="Nível 1-Sem Num Preto"/>
    <w:qFormat/>
    <w:pPr>
      <w:keepNext w:val="true"/>
      <w:keepLines/>
      <w:widowControl/>
      <w:tabs>
        <w:tab w:val="clear" w:pos="708"/>
        <w:tab w:val="left" w:pos="567" w:leader="none"/>
      </w:tabs>
      <w:suppressAutoHyphens w:val="true"/>
      <w:bidi w:val="0"/>
      <w:spacing w:lineRule="auto" w:line="276" w:before="240" w:after="120"/>
      <w:jc w:val="both"/>
    </w:pPr>
    <w:rPr>
      <w:rFonts w:ascii="Arial" w:hAnsi="Arial" w:eastAsia="0" w:cs="" w:cstheme="minorBidi"/>
      <w:b/>
      <w:bCs/>
      <w:color w:val="auto"/>
      <w:kern w:val="0"/>
      <w:sz w:val="20"/>
      <w:szCs w:val="20"/>
      <w:lang w:val="pt-BR" w:eastAsia="zh-CN" w:bidi="hi-IN"/>
    </w:rPr>
  </w:style>
  <w:style w:type="paragraph" w:styleId="Alteraes">
    <w:name w:val="Alterações"/>
    <w:basedOn w:val="Normal"/>
    <w:qFormat/>
    <w:pPr>
      <w:spacing w:lineRule="auto" w:line="276" w:before="120" w:after="120"/>
      <w:jc w:val="both"/>
    </w:pPr>
    <w:rPr>
      <w:rFonts w:ascii="Arial" w:hAnsi="Arial"/>
      <w:i/>
      <w:iCs/>
      <w:color w:val="0000FF"/>
      <w:sz w:val="20"/>
      <w:szCs w:val="20"/>
    </w:rPr>
  </w:style>
  <w:style w:type="paragraph" w:styleId="Nivel3erro">
    <w:name w:val="Nivel 3-erro"/>
    <w:qFormat/>
    <w:pPr>
      <w:widowControl/>
      <w:suppressAutoHyphens w:val="true"/>
      <w:bidi w:val="0"/>
      <w:spacing w:lineRule="auto" w:line="240" w:before="120" w:after="120"/>
      <w:ind w:left="425" w:hanging="0"/>
      <w:jc w:val="both"/>
    </w:pPr>
    <w:rPr>
      <w:rFonts w:ascii="Arial" w:hAnsi="Arial" w:eastAsia="" w:cs="Tahoma" w:eastAsiaTheme="minorEastAsia"/>
      <w:color w:val="auto"/>
      <w:kern w:val="0"/>
      <w:sz w:val="20"/>
      <w:szCs w:val="22"/>
      <w:lang w:val="pt-BR" w:eastAsia="pt-BR" w:bidi="ar-SA"/>
    </w:rPr>
  </w:style>
  <w:style w:type="paragraph" w:styleId="Prembulo">
    <w:name w:val="Preâmbulo"/>
    <w:basedOn w:val="Normal"/>
    <w:qFormat/>
    <w:pPr>
      <w:spacing w:lineRule="auto" w:line="360" w:before="480" w:after="120"/>
      <w:ind w:left="4253" w:right="-17" w:hanging="10"/>
      <w:jc w:val="both"/>
    </w:pPr>
    <w:rPr>
      <w:rFonts w:ascii="Arial" w:hAnsi="Arial" w:eastAsia="Arial"/>
      <w:bCs/>
      <w:sz w:val="20"/>
      <w:szCs w:val="20"/>
    </w:rPr>
  </w:style>
  <w:style w:type="paragraph" w:styleId="Citao2">
    <w:name w:val="citação 2"/>
    <w:qFormat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fill="FFFFCC"/>
      <w:suppressAutoHyphens w:val="true"/>
      <w:bidi w:val="0"/>
      <w:spacing w:before="120" w:after="0"/>
      <w:jc w:val="both"/>
    </w:pPr>
    <w:rPr>
      <w:rFonts w:ascii="Arial" w:hAnsi="Arial" w:eastAsia="Calibri" w:cs=""/>
      <w:i/>
      <w:iCs/>
      <w:color w:val="000000"/>
      <w:kern w:val="0"/>
      <w:sz w:val="20"/>
      <w:szCs w:val="20"/>
      <w:lang w:val="pt-BR" w:eastAsia="en-US" w:bidi="ar-SA"/>
    </w:rPr>
  </w:style>
  <w:style w:type="paragraph" w:styleId="Nvel1SemNum">
    <w:name w:val="Nível 1-Sem Num"/>
    <w:qFormat/>
    <w:pPr>
      <w:keepNext w:val="true"/>
      <w:keepLines/>
      <w:widowControl/>
      <w:tabs>
        <w:tab w:val="clear" w:pos="708"/>
        <w:tab w:val="left" w:pos="567" w:leader="none"/>
      </w:tabs>
      <w:suppressAutoHyphens w:val="true"/>
      <w:bidi w:val="0"/>
      <w:spacing w:lineRule="auto" w:line="276" w:before="240" w:after="120"/>
      <w:jc w:val="both"/>
    </w:pPr>
    <w:rPr>
      <w:rFonts w:ascii="Arial" w:hAnsi="Arial" w:eastAsia="0" w:cs=""/>
      <w:b/>
      <w:bCs/>
      <w:color w:val="FF0000"/>
      <w:kern w:val="0"/>
      <w:sz w:val="20"/>
      <w:szCs w:val="20"/>
      <w:lang w:val="pt-BR" w:eastAsia="pt-BR" w:bidi="ar-SA"/>
    </w:rPr>
  </w:style>
  <w:style w:type="paragraph" w:styleId="Nvel4R">
    <w:name w:val="Nível 4-R"/>
    <w:qFormat/>
    <w:pPr>
      <w:widowControl/>
      <w:suppressAutoHyphens w:val="true"/>
      <w:bidi w:val="0"/>
      <w:spacing w:lineRule="auto" w:line="276" w:before="120" w:after="120"/>
      <w:ind w:left="567" w:hanging="0"/>
      <w:jc w:val="both"/>
    </w:pPr>
    <w:rPr>
      <w:rFonts w:ascii="Arial" w:hAnsi="Arial" w:eastAsia="" w:cs=""/>
      <w:i/>
      <w:iCs/>
      <w:color w:val="FF0000"/>
      <w:kern w:val="0"/>
      <w:sz w:val="20"/>
      <w:szCs w:val="20"/>
      <w:u w:val="single"/>
      <w:lang w:val="pt-BR" w:eastAsia="pt-BR" w:bidi="ar-SA"/>
    </w:rPr>
  </w:style>
  <w:style w:type="paragraph" w:styleId="Nvel3R">
    <w:name w:val="Nível 3-R"/>
    <w:qFormat/>
    <w:pPr>
      <w:widowControl/>
      <w:suppressAutoHyphens w:val="true"/>
      <w:bidi w:val="0"/>
      <w:spacing w:lineRule="auto" w:line="276" w:before="120" w:after="120"/>
      <w:ind w:left="284" w:hanging="0"/>
      <w:jc w:val="both"/>
    </w:pPr>
    <w:rPr>
      <w:rFonts w:ascii="Arial" w:hAnsi="Arial" w:eastAsia="" w:cs="" w:cstheme="minorBidi" w:eastAsiaTheme="minorEastAsia"/>
      <w:i w:val="false"/>
      <w:iCs w:val="false"/>
      <w:color w:val="auto"/>
      <w:kern w:val="0"/>
      <w:sz w:val="20"/>
      <w:szCs w:val="20"/>
      <w:u w:val="none"/>
      <w:lang w:val="pt-BR" w:eastAsia="pt-BR" w:bidi="ar-SA"/>
    </w:rPr>
  </w:style>
  <w:style w:type="paragraph" w:styleId="Nvel2Red">
    <w:name w:val="Nível 2 -Red"/>
    <w:qFormat/>
    <w:pPr>
      <w:widowControl/>
      <w:suppressAutoHyphens w:val="true"/>
      <w:bidi w:val="0"/>
      <w:spacing w:lineRule="auto" w:line="276" w:before="6" w:after="176"/>
      <w:ind w:left="283" w:hanging="0"/>
      <w:contextualSpacing/>
      <w:jc w:val="both"/>
    </w:pPr>
    <w:rPr>
      <w:rFonts w:ascii="Arial" w:hAnsi="Arial" w:eastAsia="Arial" w:cs=""/>
      <w:b w:val="false"/>
      <w:bCs w:val="false"/>
      <w:i/>
      <w:iCs/>
      <w:color w:val="FF0000"/>
      <w:kern w:val="0"/>
      <w:sz w:val="20"/>
      <w:szCs w:val="20"/>
      <w:u w:val="none"/>
      <w:lang w:val="pt-BR" w:eastAsia="pt-BR" w:bidi="ar-SA"/>
    </w:rPr>
  </w:style>
  <w:style w:type="paragraph" w:styleId="Douparagraph">
    <w:name w:val="dou-paragraph"/>
    <w:basedOn w:val="Normal"/>
    <w:qFormat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Ou">
    <w:name w:val="ou"/>
    <w:qFormat/>
    <w:pPr>
      <w:widowControl/>
      <w:suppressAutoHyphens w:val="true"/>
      <w:bidi w:val="0"/>
      <w:spacing w:lineRule="auto" w:line="252" w:before="60" w:after="60"/>
      <w:contextualSpacing/>
      <w:jc w:val="center"/>
    </w:pPr>
    <w:rPr>
      <w:rFonts w:ascii="Arial" w:hAnsi="Arial" w:eastAsia="Cambria" w:cs=""/>
      <w:b/>
      <w:bCs/>
      <w:i/>
      <w:iCs/>
      <w:color w:val="FF0000"/>
      <w:kern w:val="0"/>
      <w:sz w:val="20"/>
      <w:szCs w:val="22"/>
      <w:u w:val="single"/>
      <w:lang w:val="pt-BR" w:eastAsia="pt-BR" w:bidi="ar-SA"/>
    </w:rPr>
  </w:style>
  <w:style w:type="paragraph" w:styleId="Textbody">
    <w:name w:val="Text body"/>
    <w:qFormat/>
    <w:pPr>
      <w:widowControl/>
      <w:suppressAutoHyphens w:val="true"/>
      <w:bidi w:val="0"/>
      <w:spacing w:lineRule="auto" w:line="276" w:before="0" w:after="140"/>
      <w:jc w:val="left"/>
    </w:pPr>
    <w:rPr>
      <w:rFonts w:ascii="Calibri" w:hAnsi="Calibri" w:eastAsia="" w:cs="Lucida Sans" w:asciiTheme="minorHAnsi" w:eastAsiaTheme="minorEastAsia" w:hAnsiTheme="minorHAnsi"/>
      <w:color w:val="auto"/>
      <w:kern w:val="2"/>
      <w:sz w:val="22"/>
      <w:szCs w:val="22"/>
      <w:lang w:val="pt-BR" w:eastAsia="zh-CN" w:bidi="hi-IN"/>
    </w:rPr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t-BR" w:eastAsia="zh-CN" w:bidi="hi-IN"/>
    </w:rPr>
  </w:style>
  <w:style w:type="paragraph" w:styleId="Itemalinealetra">
    <w:name w:val="item_alinea_letra"/>
    <w:basedOn w:val="Normal"/>
    <w:qFormat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Itemnivel1">
    <w:name w:val="item_nivel1"/>
    <w:basedOn w:val="Normal"/>
    <w:qFormat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Itemnivel2">
    <w:name w:val="item_nivel2"/>
    <w:basedOn w:val="Normal"/>
    <w:qFormat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Corpo">
    <w:name w:val="corpo"/>
    <w:basedOn w:val="Normal"/>
    <w:qFormat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SombreamentoMdio1nfase31">
    <w:name w:val="Sombreamento Médio 1 - Ênfase 31"/>
    <w:basedOn w:val="Normal"/>
    <w:qFormat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fill="FFFFCC"/>
      <w:spacing w:before="120" w:after="196"/>
      <w:jc w:val="both"/>
    </w:pPr>
    <w:rPr>
      <w:rFonts w:eastAsia="Calibri"/>
      <w:i/>
      <w:iCs/>
      <w:color w:val="000000"/>
      <w:sz w:val="20"/>
      <w:lang w:eastAsia="zh-CN"/>
    </w:rPr>
  </w:style>
  <w:style w:type="paragraph" w:styleId="Nvel3Opcional">
    <w:name w:val="Nível 3 Opcional"/>
    <w:qFormat/>
    <w:pPr>
      <w:widowControl/>
      <w:suppressAutoHyphens w:val="true"/>
      <w:bidi w:val="0"/>
      <w:spacing w:lineRule="auto" w:line="276" w:before="120" w:after="120"/>
      <w:ind w:left="1072" w:hanging="504"/>
      <w:jc w:val="both"/>
    </w:pPr>
    <w:rPr>
      <w:rFonts w:ascii="Arial" w:hAnsi="Arial" w:eastAsia="Times New Roman" w:cs=""/>
      <w:i/>
      <w:iCs/>
      <w:color w:val="FF0000"/>
      <w:kern w:val="0"/>
      <w:sz w:val="20"/>
      <w:szCs w:val="20"/>
      <w:lang w:val="pt-BR" w:eastAsia="pt-BR" w:bidi="ar-SA"/>
    </w:rPr>
  </w:style>
  <w:style w:type="paragraph" w:styleId="Nvel2Opcional">
    <w:name w:val="Nível 2 Opcional"/>
    <w:qFormat/>
    <w:pPr>
      <w:widowControl/>
      <w:suppressAutoHyphens w:val="true"/>
      <w:bidi w:val="0"/>
      <w:spacing w:lineRule="auto" w:line="276" w:before="6" w:after="176"/>
      <w:ind w:left="432" w:hanging="432"/>
      <w:contextualSpacing/>
      <w:jc w:val="both"/>
    </w:pPr>
    <w:rPr>
      <w:rFonts w:ascii="Arial" w:hAnsi="Arial" w:eastAsia="Times New Roman" w:cs=""/>
      <w:b w:val="false"/>
      <w:bCs w:val="false"/>
      <w:i/>
      <w:color w:val="FF0000"/>
      <w:kern w:val="0"/>
      <w:sz w:val="20"/>
      <w:szCs w:val="20"/>
      <w:u w:val="none"/>
      <w:lang w:val="pt-BR" w:eastAsia="pt-BR" w:bidi="ar-SA"/>
    </w:rPr>
  </w:style>
  <w:style w:type="paragraph" w:styleId="Textojustificado">
    <w:name w:val="texto_justificado"/>
    <w:basedOn w:val="Normal"/>
    <w:qFormat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Textojustificadorecuoprimeiralinha">
    <w:name w:val="texto_justificado_recuo_primeira_linha"/>
    <w:basedOn w:val="Normal"/>
    <w:qFormat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Tcuacitem91linha">
    <w:name w:val="tcu_-__ac_-_item_9_-_1ª_linha"/>
    <w:basedOn w:val="Normal"/>
    <w:qFormat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Normal1">
    <w:name w:val="Normal_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2"/>
      <w:lang w:val="pt-BR" w:eastAsia="en-US" w:bidi="ar-SA"/>
    </w:rPr>
  </w:style>
  <w:style w:type="paragraph" w:styleId="TCUAcitem90">
    <w:name w:val="TCU - Ac - item 9 - §§_0"/>
    <w:basedOn w:val="Normal"/>
    <w:qFormat/>
    <w:pPr>
      <w:ind w:left="10" w:firstLine="1134"/>
      <w:jc w:val="both"/>
    </w:pPr>
    <w:rPr>
      <w:rFonts w:ascii="Times New Roman" w:hAnsi="Times New Roman" w:eastAsia="Times New Roman" w:cs="Times New Roman"/>
      <w:szCs w:val="22"/>
      <w:lang w:eastAsia="en-US"/>
    </w:rPr>
  </w:style>
  <w:style w:type="paragraph" w:styleId="Xwestern">
    <w:name w:val="x_western"/>
    <w:basedOn w:val="Normal"/>
    <w:qFormat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GradeColoridanfase11">
    <w:name w:val="Grade Colorida - Ênfase 11"/>
    <w:basedOn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fill="FFFFCC"/>
      <w:spacing w:before="120" w:after="196"/>
      <w:jc w:val="both"/>
    </w:pPr>
    <w:rPr>
      <w:rFonts w:ascii="Arial" w:hAnsi="Arial" w:eastAsia="Calibri" w:cs="Times New Roman"/>
      <w:i/>
      <w:iCs/>
      <w:color w:val="000000"/>
      <w:sz w:val="20"/>
      <w:lang w:eastAsia="en-US"/>
    </w:rPr>
  </w:style>
  <w:style w:type="paragraph" w:styleId="Texto1">
    <w:name w:val="texto1"/>
    <w:basedOn w:val="Normal"/>
    <w:qFormat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Revision">
    <w:name w:val="Revision"/>
    <w:qFormat/>
    <w:pPr>
      <w:widowControl/>
      <w:suppressAutoHyphens w:val="true"/>
      <w:bidi w:val="0"/>
      <w:spacing w:before="0" w:after="0"/>
      <w:jc w:val="left"/>
    </w:pPr>
    <w:rPr>
      <w:rFonts w:ascii="Ecofont_Spranq_eco_Sans" w:hAnsi="Ecofont_Spranq_eco_Sans" w:eastAsia="Times New Roman" w:cs="Tahoma"/>
      <w:color w:val="auto"/>
      <w:kern w:val="0"/>
      <w:sz w:val="24"/>
      <w:szCs w:val="24"/>
      <w:lang w:val="pt-BR" w:eastAsia="pt-BR" w:bidi="ar-SA"/>
    </w:rPr>
  </w:style>
  <w:style w:type="paragraph" w:styleId="Em0020ementa">
    <w:name w:val="em_0020ementa"/>
    <w:basedOn w:val="Normal"/>
    <w:qFormat/>
    <w:pPr>
      <w:ind w:left="4160" w:hanging="10"/>
      <w:jc w:val="both"/>
    </w:pPr>
    <w:rPr>
      <w:rFonts w:ascii="Times New Roman" w:hAnsi="Times New Roman" w:eastAsia="Times New Roman" w:cs="Times New Roman"/>
      <w:sz w:val="28"/>
      <w:szCs w:val="28"/>
    </w:rPr>
  </w:style>
  <w:style w:type="paragraph" w:styleId="Textbody1">
    <w:name w:val="textbody"/>
    <w:basedOn w:val="Normal"/>
    <w:qFormat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Nivel5">
    <w:name w:val="Nivel 5"/>
    <w:qFormat/>
    <w:pPr>
      <w:widowControl/>
      <w:suppressAutoHyphens w:val="true"/>
      <w:bidi w:val="0"/>
      <w:spacing w:lineRule="auto" w:line="276" w:before="120" w:after="120"/>
      <w:ind w:left="851" w:hanging="0"/>
      <w:jc w:val="both"/>
    </w:pPr>
    <w:rPr>
      <w:rFonts w:ascii="Arial" w:hAnsi="Arial" w:eastAsia="" w:cs="" w:cstheme="minorBidi" w:eastAsiaTheme="minorEastAsia"/>
      <w:color w:val="auto"/>
      <w:kern w:val="0"/>
      <w:sz w:val="20"/>
      <w:szCs w:val="20"/>
      <w:lang w:val="pt-BR" w:eastAsia="pt-BR" w:bidi="ar-SA"/>
    </w:rPr>
  </w:style>
  <w:style w:type="paragraph" w:styleId="Nivel4">
    <w:name w:val="Nivel 4"/>
    <w:qFormat/>
    <w:pPr>
      <w:widowControl/>
      <w:suppressAutoHyphens w:val="true"/>
      <w:bidi w:val="0"/>
      <w:spacing w:lineRule="auto" w:line="276" w:before="120" w:after="120"/>
      <w:ind w:left="567" w:hanging="0"/>
      <w:jc w:val="both"/>
    </w:pPr>
    <w:rPr>
      <w:rFonts w:ascii="Arial" w:hAnsi="Arial" w:eastAsia="" w:cs="" w:cstheme="minorBidi" w:eastAsiaTheme="minorEastAsia"/>
      <w:color w:val="auto"/>
      <w:kern w:val="0"/>
      <w:sz w:val="20"/>
      <w:szCs w:val="20"/>
      <w:lang w:val="pt-BR" w:eastAsia="pt-BR" w:bidi="ar-SA"/>
    </w:rPr>
  </w:style>
  <w:style w:type="paragraph" w:styleId="Nivel3">
    <w:name w:val="Nivel 3"/>
    <w:basedOn w:val="Normal"/>
    <w:qFormat/>
    <w:pPr>
      <w:spacing w:lineRule="auto" w:line="276" w:before="120" w:after="120"/>
      <w:ind w:left="284" w:hanging="10"/>
      <w:jc w:val="both"/>
    </w:pPr>
    <w:rPr>
      <w:rFonts w:ascii="Arial" w:hAnsi="Arial"/>
      <w:color w:val="000000"/>
      <w:sz w:val="20"/>
      <w:szCs w:val="20"/>
    </w:rPr>
  </w:style>
  <w:style w:type="paragraph" w:styleId="Nivel1">
    <w:name w:val="Nivel 1"/>
    <w:qFormat/>
    <w:pPr>
      <w:widowControl/>
      <w:suppressAutoHyphens w:val="true"/>
      <w:bidi w:val="0"/>
      <w:spacing w:lineRule="auto" w:line="276" w:before="6" w:after="176"/>
      <w:ind w:left="360" w:hanging="360"/>
      <w:contextualSpacing/>
      <w:jc w:val="both"/>
    </w:pPr>
    <w:rPr>
      <w:rFonts w:ascii="Arial" w:hAnsi="Arial" w:eastAsia="Arial" w:cs=""/>
      <w:b/>
      <w:bCs w:val="false"/>
      <w:color w:val="000000"/>
      <w:kern w:val="0"/>
      <w:sz w:val="20"/>
      <w:szCs w:val="20"/>
      <w:u w:val="none"/>
      <w:lang w:val="pt-BR" w:eastAsia="pt-BR" w:bidi="ar-SA"/>
    </w:rPr>
  </w:style>
  <w:style w:type="paragraph" w:styleId="Nivel2">
    <w:name w:val="Nivel 2"/>
    <w:basedOn w:val="Normal"/>
    <w:qFormat/>
    <w:pPr>
      <w:spacing w:lineRule="auto" w:line="276" w:before="6" w:after="176"/>
      <w:ind w:left="283" w:hanging="10"/>
      <w:contextualSpacing/>
      <w:jc w:val="both"/>
    </w:pPr>
    <w:rPr>
      <w:rFonts w:ascii="Arial" w:hAnsi="Arial" w:eastAsia="Arial"/>
      <w:b w:val="false"/>
      <w:bCs w:val="false"/>
      <w:color w:val="000000"/>
      <w:sz w:val="20"/>
      <w:szCs w:val="20"/>
      <w:u w:val="none"/>
    </w:rPr>
  </w:style>
  <w:style w:type="paragraph" w:styleId="PargrafodaLista1">
    <w:name w:val="Parágrafo da Lista1"/>
    <w:basedOn w:val="Normal"/>
    <w:qFormat/>
    <w:pPr>
      <w:ind w:left="720" w:hanging="10"/>
    </w:pPr>
    <w:rPr>
      <w:rFonts w:eastAsia="Times New Roman" w:cs="Ecofont_Spranq_eco_Sans"/>
    </w:rPr>
  </w:style>
  <w:style w:type="paragraph" w:styleId="Nivel11">
    <w:name w:val="Nivel1"/>
    <w:basedOn w:val="Ttulo1"/>
    <w:qFormat/>
    <w:pPr>
      <w:keepNext w:val="true"/>
      <w:keepLines/>
      <w:spacing w:lineRule="auto" w:line="276" w:before="480" w:after="137"/>
      <w:ind w:left="357" w:hanging="357"/>
      <w:jc w:val="both"/>
    </w:pPr>
    <w:rPr>
      <w:rFonts w:ascii="Arial" w:hAnsi="Arial" w:eastAsia="0"/>
      <w:b/>
      <w:bCs w:val="false"/>
      <w:color w:val="000000"/>
      <w:sz w:val="28"/>
      <w:szCs w:val="28"/>
    </w:rPr>
  </w:style>
  <w:style w:type="paragraph" w:styleId="Paragraph">
    <w:name w:val="paragraph"/>
    <w:basedOn w:val="Normal"/>
    <w:qFormat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Citao1">
    <w:name w:val="Citação1"/>
    <w:basedOn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fill="FFFFCC"/>
      <w:spacing w:before="120" w:after="196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styleId="PADRO1">
    <w:name w:val="PADRÃO"/>
    <w:qFormat/>
    <w:pPr>
      <w:keepNext w:val="true"/>
      <w:widowControl w:val="false"/>
      <w:shd w:fill="FFFFFF"/>
      <w:suppressAutoHyphens w:val="true"/>
      <w:bidi w:val="0"/>
      <w:spacing w:lineRule="auto" w:line="276" w:before="119" w:after="119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auto"/>
      <w:kern w:val="0"/>
      <w:sz w:val="20"/>
      <w:szCs w:val="24"/>
      <w:lang w:val="pt-BR" w:eastAsia="zh-CN" w:bidi="hi-IN"/>
    </w:rPr>
  </w:style>
  <w:style w:type="paragraph" w:styleId="Nivel01Titulo">
    <w:name w:val="Nivel_01_Titulo"/>
    <w:qFormat/>
    <w:pPr>
      <w:keepNext w:val="true"/>
      <w:keepLines/>
      <w:widowControl/>
      <w:tabs>
        <w:tab w:val="clear" w:pos="708"/>
        <w:tab w:val="left" w:pos="567" w:leader="none"/>
      </w:tabs>
      <w:suppressAutoHyphens w:val="true"/>
      <w:bidi w:val="0"/>
      <w:spacing w:lineRule="auto" w:line="276" w:before="240" w:after="120"/>
      <w:jc w:val="left"/>
    </w:pPr>
    <w:rPr>
      <w:rFonts w:ascii="Arial" w:hAnsi="Arial" w:eastAsia="0" w:cs="0"/>
      <w:b/>
      <w:bCs/>
      <w:color w:val="000000"/>
      <w:spacing w:val="5"/>
      <w:kern w:val="2"/>
      <w:sz w:val="52"/>
      <w:szCs w:val="52"/>
      <w:lang w:val="pt-BR" w:eastAsia="pt-BR" w:bidi="ar-SA"/>
    </w:rPr>
  </w:style>
  <w:style w:type="paragraph" w:styleId="Nivel01">
    <w:name w:val="Nivel 01"/>
    <w:basedOn w:val="Ttulo1"/>
    <w:qFormat/>
    <w:pPr>
      <w:keepNext w:val="true"/>
      <w:keepLines/>
      <w:tabs>
        <w:tab w:val="clear" w:pos="708"/>
        <w:tab w:val="left" w:pos="567" w:leader="none"/>
      </w:tabs>
      <w:spacing w:lineRule="auto" w:line="276" w:before="240" w:after="120"/>
      <w:jc w:val="both"/>
    </w:pPr>
    <w:rPr>
      <w:rFonts w:ascii="Arial" w:hAnsi="Arial" w:eastAsia="0"/>
      <w:b/>
      <w:bCs/>
      <w:sz w:val="20"/>
      <w:szCs w:val="20"/>
    </w:rPr>
  </w:style>
  <w:style w:type="paragraph" w:styleId="Annotationsubject">
    <w:name w:val="annotation subject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" w:cs="" w:asciiTheme="minorHAnsi" w:cstheme="minorBidi" w:eastAsiaTheme="minorEastAsia" w:hAnsiTheme="minorHAnsi"/>
      <w:b/>
      <w:bCs/>
      <w:color w:val="auto"/>
      <w:kern w:val="0"/>
      <w:sz w:val="20"/>
      <w:szCs w:val="20"/>
      <w:lang w:val="pt-BR" w:eastAsia="pt-BR" w:bidi="ar-SA"/>
    </w:rPr>
  </w:style>
  <w:style w:type="paragraph" w:styleId="Annotationtext">
    <w:name w:val="annotation text"/>
    <w:basedOn w:val="Normal"/>
    <w:qFormat/>
    <w:pPr/>
    <w:rPr>
      <w:sz w:val="20"/>
      <w:szCs w:val="20"/>
    </w:rPr>
  </w:style>
  <w:style w:type="paragraph" w:styleId="Notaexplicativa">
    <w:name w:val="Nota explicativa"/>
    <w:qFormat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fill="FFFFCC"/>
      <w:suppressAutoHyphens w:val="true"/>
      <w:bidi w:val="0"/>
      <w:spacing w:before="120" w:after="0"/>
      <w:jc w:val="both"/>
    </w:pPr>
    <w:rPr>
      <w:rFonts w:ascii="Arial" w:hAnsi="Arial" w:eastAsia="Calibri" w:cs=""/>
      <w:i/>
      <w:iCs/>
      <w:color w:val="000000"/>
      <w:kern w:val="0"/>
      <w:sz w:val="20"/>
      <w:szCs w:val="20"/>
      <w:lang w:val="pt-BR" w:eastAsia="en-US" w:bidi="ar-SA"/>
    </w:rPr>
  </w:style>
  <w:style w:type="paragraph" w:styleId="ListBullet5">
    <w:name w:val="List Bullet 5"/>
    <w:basedOn w:val="Normal"/>
    <w:qFormat/>
    <w:pPr>
      <w:spacing w:before="0" w:after="196"/>
      <w:contextualSpacing/>
    </w:pPr>
    <w:rPr/>
  </w:style>
  <w:style w:type="paragraph" w:styleId="Quote">
    <w:name w:val="Quote"/>
    <w:basedOn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fill="FFFFCC"/>
      <w:spacing w:before="120" w:after="196"/>
      <w:jc w:val="both"/>
    </w:pPr>
    <w:rPr>
      <w:rFonts w:ascii="Arial" w:hAnsi="Arial" w:eastAsia="Calibri"/>
      <w:i/>
      <w:iCs/>
      <w:color w:val="000000"/>
      <w:sz w:val="20"/>
      <w:lang w:eastAsia="en-US"/>
    </w:rPr>
  </w:style>
  <w:style w:type="paragraph" w:styleId="Nvel2">
    <w:name w:val="Nível 2"/>
    <w:basedOn w:val="Normal"/>
    <w:qFormat/>
    <w:pPr>
      <w:spacing w:before="0" w:after="120"/>
      <w:jc w:val="both"/>
    </w:pPr>
    <w:rPr>
      <w:rFonts w:ascii="Arial" w:hAnsi="Arial" w:cs="Times New Roman"/>
      <w:b/>
      <w:szCs w:val="20"/>
    </w:rPr>
  </w:style>
  <w:style w:type="paragraph" w:styleId="BalloonText">
    <w:name w:val="Balloon Text"/>
    <w:basedOn w:val="Normal"/>
    <w:qFormat/>
    <w:pPr/>
    <w:rPr>
      <w:rFonts w:ascii="Tahoma" w:hAnsi="Tahoma"/>
      <w:sz w:val="16"/>
      <w:szCs w:val="16"/>
    </w:rPr>
  </w:style>
  <w:style w:type="paragraph" w:styleId="NormalWeb">
    <w:name w:val="Normal (Web)"/>
    <w:basedOn w:val="Normal"/>
    <w:qFormat/>
    <w:pPr>
      <w:spacing w:beforeAutospacing="1" w:afterAutospacing="1"/>
    </w:pPr>
    <w:rPr>
      <w:rFonts w:ascii="Times New Roman" w:hAnsi="Times New Roman" w:cs="Times New Roma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2636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planalto.gov.br/ccivil_03/LEIS/L9478.htm?origin=instituicao" TargetMode="External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wmf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Application>LibreOffice/7.1.4.2$Windows_X86_64 LibreOffice_project/a529a4fab45b75fefc5b6226684193eb000654f6</Application>
  <AppVersion>15.0000</AppVersion>
  <Pages>6</Pages>
  <Words>2557</Words>
  <Characters>14451</Characters>
  <CharactersWithSpaces>16953</CharactersWithSpaces>
  <Paragraphs>98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03</dc:creator>
  <dc:description/>
  <dc:language>pt-BR</dc:language>
  <cp:lastModifiedBy/>
  <dcterms:modified xsi:type="dcterms:W3CDTF">2023-06-06T15:37:45Z</dcterms:modified>
  <cp:revision>116</cp:revision>
  <dc:subject/>
  <dc:title>Estudo Técnico Preliminar 44/2022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